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257D1" w14:textId="77777777" w:rsidR="006134E7" w:rsidRPr="006134E7" w:rsidRDefault="006134E7" w:rsidP="006134E7">
      <w:pPr>
        <w:spacing w:after="150" w:line="240" w:lineRule="auto"/>
        <w:jc w:val="center"/>
        <w:rPr>
          <w:rFonts w:ascii="Calibri" w:eastAsia="Times New Roman" w:hAnsi="Calibri" w:cs="Calibri"/>
          <w:color w:val="000080"/>
          <w:sz w:val="28"/>
          <w:szCs w:val="28"/>
        </w:rPr>
      </w:pPr>
      <w:r w:rsidRPr="006134E7">
        <w:rPr>
          <w:rFonts w:ascii="Calibri" w:eastAsia="Times New Roman" w:hAnsi="Calibri" w:cs="Calibri"/>
          <w:b/>
          <w:bCs/>
          <w:color w:val="000080"/>
          <w:sz w:val="28"/>
          <w:szCs w:val="28"/>
        </w:rPr>
        <w:t>Chapter 23:02</w:t>
      </w:r>
      <w:r w:rsidRPr="006134E7">
        <w:rPr>
          <w:rFonts w:ascii="Calibri" w:eastAsia="Times New Roman" w:hAnsi="Calibri" w:cs="Calibri"/>
          <w:b/>
          <w:bCs/>
          <w:color w:val="000080"/>
          <w:sz w:val="28"/>
          <w:szCs w:val="28"/>
        </w:rPr>
        <w:br/>
        <w:t>Customs and Excise</w:t>
      </w:r>
      <w:r w:rsidRPr="006134E7">
        <w:rPr>
          <w:rFonts w:ascii="Calibri" w:eastAsia="Times New Roman" w:hAnsi="Calibri" w:cs="Calibri"/>
          <w:b/>
          <w:bCs/>
          <w:color w:val="000080"/>
          <w:sz w:val="28"/>
          <w:szCs w:val="28"/>
        </w:rPr>
        <w:br/>
        <w:t>(Inward Processing) (Rebate) Regulations, 1997</w:t>
      </w:r>
    </w:p>
    <w:p w14:paraId="7EAFABCA" w14:textId="77777777" w:rsidR="006134E7" w:rsidRPr="006134E7" w:rsidRDefault="006134E7" w:rsidP="006134E7">
      <w:pPr>
        <w:spacing w:after="150" w:line="240" w:lineRule="auto"/>
        <w:jc w:val="center"/>
        <w:rPr>
          <w:rFonts w:ascii="Calibri" w:eastAsia="Times New Roman" w:hAnsi="Calibri" w:cs="Calibri"/>
          <w:sz w:val="28"/>
          <w:szCs w:val="28"/>
        </w:rPr>
      </w:pPr>
      <w:hyperlink r:id="rId4" w:tooltip="1997_59s" w:history="1">
        <w:r w:rsidRPr="006134E7">
          <w:rPr>
            <w:rFonts w:ascii="Calibri" w:eastAsia="Times New Roman" w:hAnsi="Calibri" w:cs="Calibri"/>
            <w:i/>
            <w:iCs/>
            <w:color w:val="0000FF"/>
            <w:sz w:val="28"/>
            <w:szCs w:val="28"/>
            <w:u w:val="single"/>
          </w:rPr>
          <w:t>S.I. 59 of 1997</w:t>
        </w:r>
      </w:hyperlink>
      <w:r w:rsidRPr="006134E7">
        <w:rPr>
          <w:rFonts w:ascii="Calibri" w:eastAsia="Times New Roman" w:hAnsi="Calibri" w:cs="Calibri"/>
          <w:i/>
          <w:iCs/>
          <w:sz w:val="28"/>
          <w:szCs w:val="28"/>
        </w:rPr>
        <w:t xml:space="preserve"> Amended by </w:t>
      </w:r>
      <w:proofErr w:type="gramStart"/>
      <w:r w:rsidRPr="006134E7">
        <w:rPr>
          <w:rFonts w:ascii="Calibri" w:eastAsia="Times New Roman" w:hAnsi="Calibri" w:cs="Calibri"/>
          <w:i/>
          <w:iCs/>
          <w:sz w:val="28"/>
          <w:szCs w:val="28"/>
        </w:rPr>
        <w:t>S.I’s</w:t>
      </w:r>
      <w:proofErr w:type="gramEnd"/>
      <w:r w:rsidRPr="006134E7">
        <w:rPr>
          <w:rFonts w:ascii="Calibri" w:eastAsia="Times New Roman" w:hAnsi="Calibri" w:cs="Calibri"/>
          <w:i/>
          <w:iCs/>
          <w:sz w:val="28"/>
          <w:szCs w:val="28"/>
        </w:rPr>
        <w:t xml:space="preserve"> 309/98, and 109/08 and 43/09.</w:t>
      </w:r>
    </w:p>
    <w:p w14:paraId="345E4D6F"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IT is hereby notified that the Minister of Finance and Economic Development has, in terms of section 235, as read with </w:t>
      </w:r>
      <w:hyperlink r:id="rId5" w:anchor="120" w:tooltip="ZS@2302#120" w:history="1">
        <w:r w:rsidRPr="006134E7">
          <w:rPr>
            <w:rFonts w:ascii="Calibri" w:eastAsia="Times New Roman" w:hAnsi="Calibri" w:cs="Calibri"/>
            <w:color w:val="0000FF"/>
            <w:sz w:val="28"/>
            <w:szCs w:val="28"/>
            <w:u w:val="single"/>
          </w:rPr>
          <w:t>section 120 of the Customs and Excise Act [</w:t>
        </w:r>
        <w:r w:rsidRPr="006134E7">
          <w:rPr>
            <w:rFonts w:ascii="Calibri" w:eastAsia="Times New Roman" w:hAnsi="Calibri" w:cs="Calibri"/>
            <w:i/>
            <w:iCs/>
            <w:color w:val="0000FF"/>
            <w:sz w:val="28"/>
            <w:szCs w:val="28"/>
            <w:u w:val="single"/>
          </w:rPr>
          <w:t>Chapter 23:02</w:t>
        </w:r>
        <w:r w:rsidRPr="006134E7">
          <w:rPr>
            <w:rFonts w:ascii="Calibri" w:eastAsia="Times New Roman" w:hAnsi="Calibri" w:cs="Calibri"/>
            <w:color w:val="0000FF"/>
            <w:sz w:val="28"/>
            <w:szCs w:val="28"/>
            <w:u w:val="single"/>
          </w:rPr>
          <w:t>]</w:t>
        </w:r>
      </w:hyperlink>
      <w:r w:rsidRPr="006134E7">
        <w:rPr>
          <w:rFonts w:ascii="Calibri" w:eastAsia="Times New Roman" w:hAnsi="Calibri" w:cs="Calibri"/>
          <w:sz w:val="28"/>
          <w:szCs w:val="28"/>
        </w:rPr>
        <w:t xml:space="preserve">, made the following </w:t>
      </w:r>
      <w:proofErr w:type="gramStart"/>
      <w:r w:rsidRPr="006134E7">
        <w:rPr>
          <w:rFonts w:ascii="Calibri" w:eastAsia="Times New Roman" w:hAnsi="Calibri" w:cs="Calibri"/>
          <w:sz w:val="28"/>
          <w:szCs w:val="28"/>
        </w:rPr>
        <w:t>regulations:—</w:t>
      </w:r>
      <w:proofErr w:type="gramEnd"/>
    </w:p>
    <w:p w14:paraId="20CD6847" w14:textId="77777777" w:rsidR="006134E7" w:rsidRPr="006134E7" w:rsidRDefault="006134E7" w:rsidP="006134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6134E7">
        <w:rPr>
          <w:rFonts w:ascii="Calibri" w:eastAsia="Times New Roman" w:hAnsi="Calibri" w:cs="Calibri"/>
          <w:color w:val="808080"/>
        </w:rPr>
        <w:t>amended by the Editor in terms of the Revenue Authority Act.</w:t>
      </w:r>
    </w:p>
    <w:p w14:paraId="0326342E"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sz w:val="28"/>
          <w:szCs w:val="28"/>
        </w:rPr>
        <w:t>ARRANGEMENT OF REGULATIONS</w:t>
      </w:r>
    </w:p>
    <w:p w14:paraId="6BAC67A7" w14:textId="77777777" w:rsidR="006134E7" w:rsidRPr="006134E7" w:rsidRDefault="006134E7" w:rsidP="006134E7">
      <w:pPr>
        <w:spacing w:after="150" w:line="240" w:lineRule="auto"/>
        <w:rPr>
          <w:rFonts w:ascii="Calibri" w:eastAsia="Times New Roman" w:hAnsi="Calibri" w:cs="Calibri"/>
          <w:sz w:val="28"/>
          <w:szCs w:val="28"/>
        </w:rPr>
      </w:pPr>
      <w:hyperlink r:id="rId6" w:anchor="1" w:history="1">
        <w:r w:rsidRPr="006134E7">
          <w:rPr>
            <w:rFonts w:ascii="Calibri" w:eastAsia="Times New Roman" w:hAnsi="Calibri" w:cs="Calibri"/>
            <w:color w:val="0000FF"/>
            <w:sz w:val="28"/>
            <w:szCs w:val="28"/>
            <w:u w:val="single"/>
          </w:rPr>
          <w:t>1</w:t>
        </w:r>
      </w:hyperlink>
      <w:r w:rsidRPr="006134E7">
        <w:rPr>
          <w:rFonts w:ascii="Calibri" w:eastAsia="Times New Roman" w:hAnsi="Calibri" w:cs="Calibri"/>
          <w:sz w:val="28"/>
          <w:szCs w:val="28"/>
        </w:rPr>
        <w:t>    </w:t>
      </w:r>
      <w:hyperlink r:id="rId7" w:anchor="1" w:history="1">
        <w:r w:rsidRPr="006134E7">
          <w:rPr>
            <w:rFonts w:ascii="Calibri" w:eastAsia="Times New Roman" w:hAnsi="Calibri" w:cs="Calibri"/>
            <w:color w:val="0000FF"/>
            <w:sz w:val="28"/>
            <w:szCs w:val="28"/>
            <w:u w:val="single"/>
          </w:rPr>
          <w:t>Title</w:t>
        </w:r>
      </w:hyperlink>
    </w:p>
    <w:p w14:paraId="5011728C" w14:textId="77777777" w:rsidR="006134E7" w:rsidRPr="006134E7" w:rsidRDefault="006134E7" w:rsidP="006134E7">
      <w:pPr>
        <w:spacing w:after="150" w:line="240" w:lineRule="auto"/>
        <w:rPr>
          <w:rFonts w:ascii="Calibri" w:eastAsia="Times New Roman" w:hAnsi="Calibri" w:cs="Calibri"/>
          <w:sz w:val="28"/>
          <w:szCs w:val="28"/>
        </w:rPr>
      </w:pPr>
      <w:hyperlink r:id="rId8" w:anchor="2" w:history="1">
        <w:r w:rsidRPr="006134E7">
          <w:rPr>
            <w:rFonts w:ascii="Calibri" w:eastAsia="Times New Roman" w:hAnsi="Calibri" w:cs="Calibri"/>
            <w:color w:val="0000FF"/>
            <w:sz w:val="28"/>
            <w:szCs w:val="28"/>
            <w:u w:val="single"/>
          </w:rPr>
          <w:t>2</w:t>
        </w:r>
      </w:hyperlink>
      <w:r w:rsidRPr="006134E7">
        <w:rPr>
          <w:rFonts w:ascii="Calibri" w:eastAsia="Times New Roman" w:hAnsi="Calibri" w:cs="Calibri"/>
          <w:sz w:val="28"/>
          <w:szCs w:val="28"/>
        </w:rPr>
        <w:t>    </w:t>
      </w:r>
      <w:hyperlink r:id="rId9" w:anchor="2" w:history="1">
        <w:r w:rsidRPr="006134E7">
          <w:rPr>
            <w:rFonts w:ascii="Calibri" w:eastAsia="Times New Roman" w:hAnsi="Calibri" w:cs="Calibri"/>
            <w:color w:val="0000FF"/>
            <w:sz w:val="28"/>
            <w:szCs w:val="28"/>
            <w:u w:val="single"/>
          </w:rPr>
          <w:t>Interpretation</w:t>
        </w:r>
      </w:hyperlink>
    </w:p>
    <w:p w14:paraId="48643F99" w14:textId="77777777" w:rsidR="006134E7" w:rsidRPr="006134E7" w:rsidRDefault="006134E7" w:rsidP="006134E7">
      <w:pPr>
        <w:spacing w:after="150" w:line="240" w:lineRule="auto"/>
        <w:rPr>
          <w:rFonts w:ascii="Calibri" w:eastAsia="Times New Roman" w:hAnsi="Calibri" w:cs="Calibri"/>
          <w:sz w:val="28"/>
          <w:szCs w:val="28"/>
        </w:rPr>
      </w:pPr>
      <w:hyperlink r:id="rId10" w:anchor="3" w:history="1">
        <w:r w:rsidRPr="006134E7">
          <w:rPr>
            <w:rFonts w:ascii="Calibri" w:eastAsia="Times New Roman" w:hAnsi="Calibri" w:cs="Calibri"/>
            <w:color w:val="0000FF"/>
            <w:sz w:val="28"/>
            <w:szCs w:val="28"/>
            <w:u w:val="single"/>
          </w:rPr>
          <w:t>3</w:t>
        </w:r>
      </w:hyperlink>
      <w:r w:rsidRPr="006134E7">
        <w:rPr>
          <w:rFonts w:ascii="Calibri" w:eastAsia="Times New Roman" w:hAnsi="Calibri" w:cs="Calibri"/>
          <w:sz w:val="28"/>
          <w:szCs w:val="28"/>
        </w:rPr>
        <w:t>    </w:t>
      </w:r>
      <w:hyperlink r:id="rId11" w:anchor="3" w:history="1">
        <w:r w:rsidRPr="006134E7">
          <w:rPr>
            <w:rFonts w:ascii="Calibri" w:eastAsia="Times New Roman" w:hAnsi="Calibri" w:cs="Calibri"/>
            <w:color w:val="0000FF"/>
            <w:sz w:val="28"/>
            <w:szCs w:val="28"/>
            <w:u w:val="single"/>
          </w:rPr>
          <w:t>Grant of rebate</w:t>
        </w:r>
      </w:hyperlink>
    </w:p>
    <w:p w14:paraId="48E8A926" w14:textId="77777777" w:rsidR="006134E7" w:rsidRPr="006134E7" w:rsidRDefault="006134E7" w:rsidP="006134E7">
      <w:pPr>
        <w:spacing w:after="150" w:line="240" w:lineRule="auto"/>
        <w:rPr>
          <w:rFonts w:ascii="Calibri" w:eastAsia="Times New Roman" w:hAnsi="Calibri" w:cs="Calibri"/>
          <w:sz w:val="28"/>
          <w:szCs w:val="28"/>
        </w:rPr>
      </w:pPr>
      <w:hyperlink r:id="rId12" w:anchor="4" w:history="1">
        <w:r w:rsidRPr="006134E7">
          <w:rPr>
            <w:rFonts w:ascii="Calibri" w:eastAsia="Times New Roman" w:hAnsi="Calibri" w:cs="Calibri"/>
            <w:color w:val="0000FF"/>
            <w:sz w:val="28"/>
            <w:szCs w:val="28"/>
            <w:u w:val="single"/>
          </w:rPr>
          <w:t>4</w:t>
        </w:r>
      </w:hyperlink>
      <w:r w:rsidRPr="006134E7">
        <w:rPr>
          <w:rFonts w:ascii="Calibri" w:eastAsia="Times New Roman" w:hAnsi="Calibri" w:cs="Calibri"/>
          <w:sz w:val="28"/>
          <w:szCs w:val="28"/>
        </w:rPr>
        <w:t>    </w:t>
      </w:r>
      <w:hyperlink r:id="rId13" w:anchor="4" w:history="1">
        <w:r w:rsidRPr="006134E7">
          <w:rPr>
            <w:rFonts w:ascii="Calibri" w:eastAsia="Times New Roman" w:hAnsi="Calibri" w:cs="Calibri"/>
            <w:color w:val="0000FF"/>
            <w:sz w:val="28"/>
            <w:szCs w:val="28"/>
            <w:u w:val="single"/>
          </w:rPr>
          <w:t>Registration</w:t>
        </w:r>
      </w:hyperlink>
    </w:p>
    <w:p w14:paraId="20ADE51B" w14:textId="77777777" w:rsidR="006134E7" w:rsidRPr="006134E7" w:rsidRDefault="006134E7" w:rsidP="006134E7">
      <w:pPr>
        <w:spacing w:after="150" w:line="240" w:lineRule="auto"/>
        <w:rPr>
          <w:rFonts w:ascii="Calibri" w:eastAsia="Times New Roman" w:hAnsi="Calibri" w:cs="Calibri"/>
          <w:sz w:val="28"/>
          <w:szCs w:val="28"/>
        </w:rPr>
      </w:pPr>
      <w:hyperlink r:id="rId14" w:anchor="5" w:history="1">
        <w:r w:rsidRPr="006134E7">
          <w:rPr>
            <w:rFonts w:ascii="Calibri" w:eastAsia="Times New Roman" w:hAnsi="Calibri" w:cs="Calibri"/>
            <w:color w:val="0000FF"/>
            <w:sz w:val="28"/>
            <w:szCs w:val="28"/>
            <w:u w:val="single"/>
          </w:rPr>
          <w:t>5</w:t>
        </w:r>
      </w:hyperlink>
      <w:r w:rsidRPr="006134E7">
        <w:rPr>
          <w:rFonts w:ascii="Calibri" w:eastAsia="Times New Roman" w:hAnsi="Calibri" w:cs="Calibri"/>
          <w:sz w:val="28"/>
          <w:szCs w:val="28"/>
        </w:rPr>
        <w:t>    </w:t>
      </w:r>
      <w:hyperlink r:id="rId15" w:anchor="5" w:history="1">
        <w:r w:rsidRPr="006134E7">
          <w:rPr>
            <w:rFonts w:ascii="Calibri" w:eastAsia="Times New Roman" w:hAnsi="Calibri" w:cs="Calibri"/>
            <w:color w:val="0000FF"/>
            <w:sz w:val="28"/>
            <w:szCs w:val="28"/>
            <w:u w:val="single"/>
          </w:rPr>
          <w:t>Storage of rebate materials and compensating products</w:t>
        </w:r>
      </w:hyperlink>
    </w:p>
    <w:p w14:paraId="4A3B0F87" w14:textId="77777777" w:rsidR="006134E7" w:rsidRPr="006134E7" w:rsidRDefault="006134E7" w:rsidP="006134E7">
      <w:pPr>
        <w:spacing w:after="150" w:line="240" w:lineRule="auto"/>
        <w:rPr>
          <w:rFonts w:ascii="Calibri" w:eastAsia="Times New Roman" w:hAnsi="Calibri" w:cs="Calibri"/>
          <w:sz w:val="28"/>
          <w:szCs w:val="28"/>
        </w:rPr>
      </w:pPr>
      <w:hyperlink r:id="rId16" w:anchor="6" w:history="1">
        <w:r w:rsidRPr="006134E7">
          <w:rPr>
            <w:rFonts w:ascii="Calibri" w:eastAsia="Times New Roman" w:hAnsi="Calibri" w:cs="Calibri"/>
            <w:color w:val="0000FF"/>
            <w:sz w:val="28"/>
            <w:szCs w:val="28"/>
            <w:u w:val="single"/>
          </w:rPr>
          <w:t>6</w:t>
        </w:r>
      </w:hyperlink>
      <w:r w:rsidRPr="006134E7">
        <w:rPr>
          <w:rFonts w:ascii="Calibri" w:eastAsia="Times New Roman" w:hAnsi="Calibri" w:cs="Calibri"/>
          <w:sz w:val="28"/>
          <w:szCs w:val="28"/>
        </w:rPr>
        <w:t>    </w:t>
      </w:r>
      <w:hyperlink r:id="rId17" w:anchor="6" w:history="1">
        <w:r w:rsidRPr="006134E7">
          <w:rPr>
            <w:rFonts w:ascii="Calibri" w:eastAsia="Times New Roman" w:hAnsi="Calibri" w:cs="Calibri"/>
            <w:color w:val="0000FF"/>
            <w:sz w:val="28"/>
            <w:szCs w:val="28"/>
            <w:u w:val="single"/>
          </w:rPr>
          <w:t>Clearance of goods</w:t>
        </w:r>
      </w:hyperlink>
    </w:p>
    <w:p w14:paraId="56CF9C43" w14:textId="77777777" w:rsidR="006134E7" w:rsidRPr="006134E7" w:rsidRDefault="006134E7" w:rsidP="006134E7">
      <w:pPr>
        <w:spacing w:after="150" w:line="240" w:lineRule="auto"/>
        <w:rPr>
          <w:rFonts w:ascii="Calibri" w:eastAsia="Times New Roman" w:hAnsi="Calibri" w:cs="Calibri"/>
          <w:sz w:val="28"/>
          <w:szCs w:val="28"/>
        </w:rPr>
      </w:pPr>
      <w:hyperlink r:id="rId18" w:anchor="7" w:history="1">
        <w:r w:rsidRPr="006134E7">
          <w:rPr>
            <w:rFonts w:ascii="Calibri" w:eastAsia="Times New Roman" w:hAnsi="Calibri" w:cs="Calibri"/>
            <w:color w:val="0000FF"/>
            <w:sz w:val="28"/>
            <w:szCs w:val="28"/>
            <w:u w:val="single"/>
          </w:rPr>
          <w:t>7</w:t>
        </w:r>
      </w:hyperlink>
      <w:r w:rsidRPr="006134E7">
        <w:rPr>
          <w:rFonts w:ascii="Calibri" w:eastAsia="Times New Roman" w:hAnsi="Calibri" w:cs="Calibri"/>
          <w:sz w:val="28"/>
          <w:szCs w:val="28"/>
        </w:rPr>
        <w:t>    </w:t>
      </w:r>
      <w:hyperlink r:id="rId19" w:anchor="7" w:history="1">
        <w:r w:rsidRPr="006134E7">
          <w:rPr>
            <w:rFonts w:ascii="Calibri" w:eastAsia="Times New Roman" w:hAnsi="Calibri" w:cs="Calibri"/>
            <w:color w:val="0000FF"/>
            <w:sz w:val="28"/>
            <w:szCs w:val="28"/>
            <w:u w:val="single"/>
          </w:rPr>
          <w:t>Transfer of goods imported or taken out of bond under rebate</w:t>
        </w:r>
      </w:hyperlink>
    </w:p>
    <w:p w14:paraId="75AA9798" w14:textId="77777777" w:rsidR="006134E7" w:rsidRPr="006134E7" w:rsidRDefault="006134E7" w:rsidP="006134E7">
      <w:pPr>
        <w:spacing w:after="150" w:line="240" w:lineRule="auto"/>
        <w:rPr>
          <w:rFonts w:ascii="Calibri" w:eastAsia="Times New Roman" w:hAnsi="Calibri" w:cs="Calibri"/>
          <w:sz w:val="28"/>
          <w:szCs w:val="28"/>
        </w:rPr>
      </w:pPr>
      <w:hyperlink r:id="rId20" w:anchor="8" w:history="1">
        <w:r w:rsidRPr="006134E7">
          <w:rPr>
            <w:rFonts w:ascii="Calibri" w:eastAsia="Times New Roman" w:hAnsi="Calibri" w:cs="Calibri"/>
            <w:color w:val="0000FF"/>
            <w:sz w:val="28"/>
            <w:szCs w:val="28"/>
            <w:u w:val="single"/>
          </w:rPr>
          <w:t>8</w:t>
        </w:r>
      </w:hyperlink>
      <w:r w:rsidRPr="006134E7">
        <w:rPr>
          <w:rFonts w:ascii="Calibri" w:eastAsia="Times New Roman" w:hAnsi="Calibri" w:cs="Calibri"/>
          <w:sz w:val="28"/>
          <w:szCs w:val="28"/>
        </w:rPr>
        <w:t>    </w:t>
      </w:r>
      <w:hyperlink r:id="rId21" w:anchor="8" w:history="1">
        <w:r w:rsidRPr="006134E7">
          <w:rPr>
            <w:rFonts w:ascii="Calibri" w:eastAsia="Times New Roman" w:hAnsi="Calibri" w:cs="Calibri"/>
            <w:color w:val="0000FF"/>
            <w:sz w:val="28"/>
            <w:szCs w:val="28"/>
            <w:u w:val="single"/>
          </w:rPr>
          <w:t>Period within which goods must be exported</w:t>
        </w:r>
      </w:hyperlink>
    </w:p>
    <w:p w14:paraId="2C869995" w14:textId="77777777" w:rsidR="006134E7" w:rsidRPr="006134E7" w:rsidRDefault="006134E7" w:rsidP="006134E7">
      <w:pPr>
        <w:spacing w:after="150" w:line="240" w:lineRule="auto"/>
        <w:rPr>
          <w:rFonts w:ascii="Calibri" w:eastAsia="Times New Roman" w:hAnsi="Calibri" w:cs="Calibri"/>
          <w:sz w:val="28"/>
          <w:szCs w:val="28"/>
        </w:rPr>
      </w:pPr>
      <w:hyperlink r:id="rId22" w:anchor="9" w:history="1">
        <w:r w:rsidRPr="006134E7">
          <w:rPr>
            <w:rFonts w:ascii="Calibri" w:eastAsia="Times New Roman" w:hAnsi="Calibri" w:cs="Calibri"/>
            <w:color w:val="0000FF"/>
            <w:sz w:val="28"/>
            <w:szCs w:val="28"/>
            <w:u w:val="single"/>
          </w:rPr>
          <w:t>9</w:t>
        </w:r>
      </w:hyperlink>
      <w:r w:rsidRPr="006134E7">
        <w:rPr>
          <w:rFonts w:ascii="Calibri" w:eastAsia="Times New Roman" w:hAnsi="Calibri" w:cs="Calibri"/>
          <w:sz w:val="28"/>
          <w:szCs w:val="28"/>
        </w:rPr>
        <w:t>    </w:t>
      </w:r>
      <w:hyperlink r:id="rId23" w:anchor="9" w:history="1">
        <w:r w:rsidRPr="006134E7">
          <w:rPr>
            <w:rFonts w:ascii="Calibri" w:eastAsia="Times New Roman" w:hAnsi="Calibri" w:cs="Calibri"/>
            <w:color w:val="0000FF"/>
            <w:sz w:val="28"/>
            <w:szCs w:val="28"/>
            <w:u w:val="single"/>
          </w:rPr>
          <w:t>Disposal of goods entered under rebate</w:t>
        </w:r>
      </w:hyperlink>
    </w:p>
    <w:p w14:paraId="42BEAA3E" w14:textId="77777777" w:rsidR="006134E7" w:rsidRPr="006134E7" w:rsidRDefault="006134E7" w:rsidP="006134E7">
      <w:pPr>
        <w:spacing w:after="150" w:line="240" w:lineRule="auto"/>
        <w:rPr>
          <w:rFonts w:ascii="Calibri" w:eastAsia="Times New Roman" w:hAnsi="Calibri" w:cs="Calibri"/>
          <w:sz w:val="28"/>
          <w:szCs w:val="28"/>
        </w:rPr>
      </w:pPr>
      <w:hyperlink r:id="rId24" w:anchor="10" w:history="1">
        <w:r w:rsidRPr="006134E7">
          <w:rPr>
            <w:rFonts w:ascii="Calibri" w:eastAsia="Times New Roman" w:hAnsi="Calibri" w:cs="Calibri"/>
            <w:color w:val="0000FF"/>
            <w:sz w:val="28"/>
            <w:szCs w:val="28"/>
            <w:u w:val="single"/>
          </w:rPr>
          <w:t>10</w:t>
        </w:r>
      </w:hyperlink>
      <w:r w:rsidRPr="006134E7">
        <w:rPr>
          <w:rFonts w:ascii="Calibri" w:eastAsia="Times New Roman" w:hAnsi="Calibri" w:cs="Calibri"/>
          <w:sz w:val="28"/>
          <w:szCs w:val="28"/>
        </w:rPr>
        <w:t>    </w:t>
      </w:r>
      <w:hyperlink r:id="rId25" w:anchor="10" w:history="1">
        <w:r w:rsidRPr="006134E7">
          <w:rPr>
            <w:rFonts w:ascii="Calibri" w:eastAsia="Times New Roman" w:hAnsi="Calibri" w:cs="Calibri"/>
            <w:color w:val="0000FF"/>
            <w:sz w:val="28"/>
            <w:szCs w:val="28"/>
            <w:u w:val="single"/>
          </w:rPr>
          <w:t>Remission of duty on destroyed goods</w:t>
        </w:r>
      </w:hyperlink>
    </w:p>
    <w:p w14:paraId="2795E072" w14:textId="77777777" w:rsidR="006134E7" w:rsidRPr="006134E7" w:rsidRDefault="006134E7" w:rsidP="006134E7">
      <w:pPr>
        <w:spacing w:after="150" w:line="240" w:lineRule="auto"/>
        <w:rPr>
          <w:rFonts w:ascii="Calibri" w:eastAsia="Times New Roman" w:hAnsi="Calibri" w:cs="Calibri"/>
          <w:sz w:val="28"/>
          <w:szCs w:val="28"/>
        </w:rPr>
      </w:pPr>
      <w:hyperlink r:id="rId26" w:anchor="11" w:history="1">
        <w:r w:rsidRPr="006134E7">
          <w:rPr>
            <w:rFonts w:ascii="Calibri" w:eastAsia="Times New Roman" w:hAnsi="Calibri" w:cs="Calibri"/>
            <w:color w:val="0000FF"/>
            <w:sz w:val="28"/>
            <w:szCs w:val="28"/>
            <w:u w:val="single"/>
          </w:rPr>
          <w:t>11</w:t>
        </w:r>
      </w:hyperlink>
      <w:r w:rsidRPr="006134E7">
        <w:rPr>
          <w:rFonts w:ascii="Calibri" w:eastAsia="Times New Roman" w:hAnsi="Calibri" w:cs="Calibri"/>
          <w:sz w:val="28"/>
          <w:szCs w:val="28"/>
        </w:rPr>
        <w:t>    </w:t>
      </w:r>
      <w:hyperlink r:id="rId27" w:anchor="11" w:history="1">
        <w:r w:rsidRPr="006134E7">
          <w:rPr>
            <w:rFonts w:ascii="Calibri" w:eastAsia="Times New Roman" w:hAnsi="Calibri" w:cs="Calibri"/>
            <w:color w:val="0000FF"/>
            <w:sz w:val="28"/>
            <w:szCs w:val="28"/>
            <w:u w:val="single"/>
          </w:rPr>
          <w:t>Maintenance of records</w:t>
        </w:r>
      </w:hyperlink>
    </w:p>
    <w:p w14:paraId="3BD039AD" w14:textId="77777777" w:rsidR="006134E7" w:rsidRPr="006134E7" w:rsidRDefault="006134E7" w:rsidP="006134E7">
      <w:pPr>
        <w:spacing w:after="150" w:line="240" w:lineRule="auto"/>
        <w:rPr>
          <w:rFonts w:ascii="Calibri" w:eastAsia="Times New Roman" w:hAnsi="Calibri" w:cs="Calibri"/>
          <w:sz w:val="28"/>
          <w:szCs w:val="28"/>
        </w:rPr>
      </w:pPr>
      <w:hyperlink r:id="rId28" w:anchor="12" w:history="1">
        <w:r w:rsidRPr="006134E7">
          <w:rPr>
            <w:rFonts w:ascii="Calibri" w:eastAsia="Times New Roman" w:hAnsi="Calibri" w:cs="Calibri"/>
            <w:color w:val="0000FF"/>
            <w:sz w:val="28"/>
            <w:szCs w:val="28"/>
            <w:u w:val="single"/>
          </w:rPr>
          <w:t>12</w:t>
        </w:r>
      </w:hyperlink>
      <w:r w:rsidRPr="006134E7">
        <w:rPr>
          <w:rFonts w:ascii="Calibri" w:eastAsia="Times New Roman" w:hAnsi="Calibri" w:cs="Calibri"/>
          <w:sz w:val="28"/>
          <w:szCs w:val="28"/>
        </w:rPr>
        <w:t>    </w:t>
      </w:r>
      <w:hyperlink r:id="rId29" w:anchor="12" w:history="1">
        <w:r w:rsidRPr="006134E7">
          <w:rPr>
            <w:rFonts w:ascii="Calibri" w:eastAsia="Times New Roman" w:hAnsi="Calibri" w:cs="Calibri"/>
            <w:color w:val="0000FF"/>
            <w:sz w:val="28"/>
            <w:szCs w:val="28"/>
            <w:u w:val="single"/>
          </w:rPr>
          <w:t>Cancellation of registration</w:t>
        </w:r>
      </w:hyperlink>
    </w:p>
    <w:p w14:paraId="3E416788" w14:textId="77777777" w:rsidR="006134E7" w:rsidRPr="006134E7" w:rsidRDefault="006134E7" w:rsidP="006134E7">
      <w:pPr>
        <w:spacing w:after="150" w:line="240" w:lineRule="auto"/>
        <w:rPr>
          <w:rFonts w:ascii="Calibri" w:eastAsia="Times New Roman" w:hAnsi="Calibri" w:cs="Calibri"/>
          <w:sz w:val="28"/>
          <w:szCs w:val="28"/>
        </w:rPr>
      </w:pPr>
      <w:hyperlink r:id="rId30" w:anchor="13" w:history="1">
        <w:r w:rsidRPr="006134E7">
          <w:rPr>
            <w:rFonts w:ascii="Calibri" w:eastAsia="Times New Roman" w:hAnsi="Calibri" w:cs="Calibri"/>
            <w:color w:val="0000FF"/>
            <w:sz w:val="28"/>
            <w:szCs w:val="28"/>
            <w:u w:val="single"/>
          </w:rPr>
          <w:t>13</w:t>
        </w:r>
      </w:hyperlink>
      <w:r w:rsidRPr="006134E7">
        <w:rPr>
          <w:rFonts w:ascii="Calibri" w:eastAsia="Times New Roman" w:hAnsi="Calibri" w:cs="Calibri"/>
          <w:sz w:val="28"/>
          <w:szCs w:val="28"/>
        </w:rPr>
        <w:t>    </w:t>
      </w:r>
      <w:hyperlink r:id="rId31" w:anchor="13" w:history="1">
        <w:r w:rsidRPr="006134E7">
          <w:rPr>
            <w:rFonts w:ascii="Calibri" w:eastAsia="Times New Roman" w:hAnsi="Calibri" w:cs="Calibri"/>
            <w:color w:val="0000FF"/>
            <w:sz w:val="28"/>
            <w:szCs w:val="28"/>
            <w:u w:val="single"/>
          </w:rPr>
          <w:t>Repeals</w:t>
        </w:r>
      </w:hyperlink>
    </w:p>
    <w:p w14:paraId="6E2DA365" w14:textId="77777777" w:rsidR="006134E7" w:rsidRPr="006134E7" w:rsidRDefault="006134E7" w:rsidP="006134E7">
      <w:pPr>
        <w:spacing w:after="150" w:line="240" w:lineRule="auto"/>
        <w:rPr>
          <w:rFonts w:ascii="Calibri" w:eastAsia="Times New Roman" w:hAnsi="Calibri" w:cs="Calibri"/>
          <w:sz w:val="28"/>
          <w:szCs w:val="28"/>
        </w:rPr>
      </w:pPr>
      <w:hyperlink r:id="rId32" w:anchor="Sch1" w:history="1">
        <w:r w:rsidRPr="006134E7">
          <w:rPr>
            <w:rFonts w:ascii="Calibri" w:eastAsia="Times New Roman" w:hAnsi="Calibri" w:cs="Calibri"/>
            <w:color w:val="0000FF"/>
            <w:sz w:val="28"/>
            <w:szCs w:val="28"/>
            <w:u w:val="single"/>
          </w:rPr>
          <w:t>First Schedule: Appropriate Forms</w:t>
        </w:r>
      </w:hyperlink>
    </w:p>
    <w:p w14:paraId="67E25579" w14:textId="77777777" w:rsidR="006134E7" w:rsidRPr="006134E7" w:rsidRDefault="006134E7" w:rsidP="006134E7">
      <w:pPr>
        <w:spacing w:after="150" w:line="240" w:lineRule="auto"/>
        <w:rPr>
          <w:rFonts w:ascii="Calibri" w:eastAsia="Times New Roman" w:hAnsi="Calibri" w:cs="Calibri"/>
          <w:sz w:val="28"/>
          <w:szCs w:val="28"/>
        </w:rPr>
      </w:pPr>
      <w:hyperlink r:id="rId33" w:anchor="Sch2" w:history="1">
        <w:r w:rsidRPr="006134E7">
          <w:rPr>
            <w:rFonts w:ascii="Calibri" w:eastAsia="Times New Roman" w:hAnsi="Calibri" w:cs="Calibri"/>
            <w:color w:val="0000FF"/>
            <w:sz w:val="28"/>
            <w:szCs w:val="28"/>
            <w:u w:val="single"/>
          </w:rPr>
          <w:t>Second Schedule: Repealed Regulations</w:t>
        </w:r>
      </w:hyperlink>
    </w:p>
    <w:p w14:paraId="70F5DF7E"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Title</w:t>
      </w:r>
    </w:p>
    <w:p w14:paraId="238BCB21"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b/>
          <w:bCs/>
          <w:sz w:val="28"/>
          <w:szCs w:val="28"/>
        </w:rPr>
        <w:t>1</w:t>
      </w:r>
      <w:r w:rsidRPr="006134E7">
        <w:rPr>
          <w:rFonts w:ascii="Calibri" w:eastAsia="Times New Roman" w:hAnsi="Calibri" w:cs="Calibri"/>
          <w:sz w:val="28"/>
          <w:szCs w:val="28"/>
        </w:rPr>
        <w:t>.  These regulations may be cited as the Customs and Excise (Inward Processing) (Rebate) (Amendment) Regulations, 1998 (No. 1).</w:t>
      </w:r>
    </w:p>
    <w:p w14:paraId="44FC6942" w14:textId="77777777" w:rsidR="006134E7" w:rsidRPr="006134E7" w:rsidRDefault="006134E7" w:rsidP="006134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6134E7">
        <w:rPr>
          <w:rFonts w:ascii="Calibri" w:eastAsia="Times New Roman" w:hAnsi="Calibri" w:cs="Calibri"/>
          <w:color w:val="808080"/>
        </w:rPr>
        <w:t>amended by S.I. 309 of 1998 w.e.f. 16</w:t>
      </w:r>
      <w:r w:rsidRPr="006134E7">
        <w:rPr>
          <w:rFonts w:ascii="Calibri" w:eastAsia="Times New Roman" w:hAnsi="Calibri" w:cs="Calibri"/>
          <w:color w:val="808080"/>
          <w:sz w:val="20"/>
          <w:szCs w:val="20"/>
          <w:vertAlign w:val="superscript"/>
        </w:rPr>
        <w:t>th</w:t>
      </w:r>
      <w:r w:rsidRPr="006134E7">
        <w:rPr>
          <w:rFonts w:ascii="Calibri" w:eastAsia="Times New Roman" w:hAnsi="Calibri" w:cs="Calibri"/>
          <w:color w:val="808080"/>
        </w:rPr>
        <w:t xml:space="preserve"> </w:t>
      </w:r>
      <w:proofErr w:type="gramStart"/>
      <w:r w:rsidRPr="006134E7">
        <w:rPr>
          <w:rFonts w:ascii="Calibri" w:eastAsia="Times New Roman" w:hAnsi="Calibri" w:cs="Calibri"/>
          <w:color w:val="808080"/>
        </w:rPr>
        <w:t>October,</w:t>
      </w:r>
      <w:proofErr w:type="gramEnd"/>
      <w:r w:rsidRPr="006134E7">
        <w:rPr>
          <w:rFonts w:ascii="Calibri" w:eastAsia="Times New Roman" w:hAnsi="Calibri" w:cs="Calibri"/>
          <w:color w:val="808080"/>
        </w:rPr>
        <w:t xml:space="preserve"> 1998</w:t>
      </w:r>
    </w:p>
    <w:p w14:paraId="225EF2A1"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lastRenderedPageBreak/>
        <w:t>Interpretation</w:t>
      </w:r>
    </w:p>
    <w:p w14:paraId="2F8EC250"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b/>
          <w:bCs/>
          <w:sz w:val="28"/>
          <w:szCs w:val="28"/>
        </w:rPr>
        <w:t>2</w:t>
      </w:r>
      <w:r w:rsidRPr="006134E7">
        <w:rPr>
          <w:rFonts w:ascii="Calibri" w:eastAsia="Times New Roman" w:hAnsi="Calibri" w:cs="Calibri"/>
          <w:sz w:val="28"/>
          <w:szCs w:val="28"/>
        </w:rPr>
        <w:t>.  In these regulations—</w:t>
      </w:r>
    </w:p>
    <w:p w14:paraId="12C136E8"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 compensating</w:t>
      </w:r>
      <w:proofErr w:type="gramEnd"/>
      <w:r w:rsidRPr="006134E7">
        <w:rPr>
          <w:rFonts w:ascii="Calibri" w:eastAsia="Times New Roman" w:hAnsi="Calibri" w:cs="Calibri"/>
          <w:b/>
          <w:bCs/>
          <w:sz w:val="28"/>
          <w:szCs w:val="28"/>
        </w:rPr>
        <w:t xml:space="preserve"> products ”</w:t>
      </w:r>
      <w:r w:rsidRPr="006134E7">
        <w:rPr>
          <w:rFonts w:ascii="Calibri" w:eastAsia="Times New Roman" w:hAnsi="Calibri" w:cs="Calibri"/>
          <w:sz w:val="28"/>
          <w:szCs w:val="28"/>
        </w:rPr>
        <w:t xml:space="preserve"> means the products obtained as a result of the processing or repair of goods temporarily imported for inward processing;</w:t>
      </w:r>
    </w:p>
    <w:p w14:paraId="19640C78"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 form</w:t>
      </w:r>
      <w:proofErr w:type="gramEnd"/>
      <w:r w:rsidRPr="006134E7">
        <w:rPr>
          <w:rFonts w:ascii="Calibri" w:eastAsia="Times New Roman" w:hAnsi="Calibri" w:cs="Calibri"/>
          <w:b/>
          <w:bCs/>
          <w:sz w:val="28"/>
          <w:szCs w:val="28"/>
        </w:rPr>
        <w:t xml:space="preserve"> ”</w:t>
      </w:r>
      <w:r w:rsidRPr="006134E7">
        <w:rPr>
          <w:rFonts w:ascii="Calibri" w:eastAsia="Times New Roman" w:hAnsi="Calibri" w:cs="Calibri"/>
          <w:sz w:val="28"/>
          <w:szCs w:val="28"/>
        </w:rPr>
        <w:t xml:space="preserve"> means the appropriate form specified in the </w:t>
      </w:r>
      <w:r w:rsidRPr="006134E7">
        <w:rPr>
          <w:rFonts w:ascii="Calibri" w:eastAsia="Times New Roman" w:hAnsi="Calibri" w:cs="Calibri"/>
          <w:i/>
          <w:iCs/>
          <w:sz w:val="28"/>
          <w:szCs w:val="28"/>
        </w:rPr>
        <w:t>First Schedule</w:t>
      </w:r>
      <w:r w:rsidRPr="006134E7">
        <w:rPr>
          <w:rFonts w:ascii="Calibri" w:eastAsia="Times New Roman" w:hAnsi="Calibri" w:cs="Calibri"/>
          <w:sz w:val="28"/>
          <w:szCs w:val="28"/>
        </w:rPr>
        <w:t>;</w:t>
      </w:r>
    </w:p>
    <w:p w14:paraId="2E3F1530"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 intermediate</w:t>
      </w:r>
      <w:proofErr w:type="gramEnd"/>
      <w:r w:rsidRPr="006134E7">
        <w:rPr>
          <w:rFonts w:ascii="Calibri" w:eastAsia="Times New Roman" w:hAnsi="Calibri" w:cs="Calibri"/>
          <w:b/>
          <w:bCs/>
          <w:sz w:val="28"/>
          <w:szCs w:val="28"/>
        </w:rPr>
        <w:t xml:space="preserve"> products ”</w:t>
      </w:r>
      <w:r w:rsidRPr="006134E7">
        <w:rPr>
          <w:rFonts w:ascii="Calibri" w:eastAsia="Times New Roman" w:hAnsi="Calibri" w:cs="Calibri"/>
          <w:sz w:val="28"/>
          <w:szCs w:val="28"/>
        </w:rPr>
        <w:t xml:space="preserve"> means goods which have not been processed to the stage of compensating products;</w:t>
      </w:r>
    </w:p>
    <w:p w14:paraId="451C91C0"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 processing</w:t>
      </w:r>
      <w:proofErr w:type="gramEnd"/>
      <w:r w:rsidRPr="006134E7">
        <w:rPr>
          <w:rFonts w:ascii="Calibri" w:eastAsia="Times New Roman" w:hAnsi="Calibri" w:cs="Calibri"/>
          <w:b/>
          <w:bCs/>
          <w:sz w:val="28"/>
          <w:szCs w:val="28"/>
        </w:rPr>
        <w:t xml:space="preserve"> ”</w:t>
      </w:r>
      <w:r w:rsidRPr="006134E7">
        <w:rPr>
          <w:rFonts w:ascii="Calibri" w:eastAsia="Times New Roman" w:hAnsi="Calibri" w:cs="Calibri"/>
          <w:sz w:val="28"/>
          <w:szCs w:val="28"/>
        </w:rPr>
        <w:t xml:space="preserve"> means the manufacture of goods and includes any one or more of the following operations—</w:t>
      </w:r>
    </w:p>
    <w:p w14:paraId="74105F3E"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(a)  fitting or assembling;</w:t>
      </w:r>
    </w:p>
    <w:p w14:paraId="3322CE54"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(b)  industrial packing or re-packaging;</w:t>
      </w:r>
    </w:p>
    <w:p w14:paraId="59522948"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 xml:space="preserve">(c)  use of agents such as catalysts, accelerators or retarders of chemical reactions which disappear entirely or partially </w:t>
      </w:r>
      <w:proofErr w:type="gramStart"/>
      <w:r w:rsidRPr="006134E7">
        <w:rPr>
          <w:rFonts w:ascii="Calibri" w:eastAsia="Times New Roman" w:hAnsi="Calibri" w:cs="Calibri"/>
          <w:sz w:val="28"/>
          <w:szCs w:val="28"/>
        </w:rPr>
        <w:t>in the course of</w:t>
      </w:r>
      <w:proofErr w:type="gramEnd"/>
      <w:r w:rsidRPr="006134E7">
        <w:rPr>
          <w:rFonts w:ascii="Calibri" w:eastAsia="Times New Roman" w:hAnsi="Calibri" w:cs="Calibri"/>
          <w:sz w:val="28"/>
          <w:szCs w:val="28"/>
        </w:rPr>
        <w:t xml:space="preserve"> production and are thereafter indistinguishable in the goods produced;</w:t>
      </w:r>
    </w:p>
    <w:p w14:paraId="400694E9"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(d)  mixing and blending.</w:t>
      </w:r>
    </w:p>
    <w:p w14:paraId="578B7BBF"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 registered</w:t>
      </w:r>
      <w:proofErr w:type="gramEnd"/>
      <w:r w:rsidRPr="006134E7">
        <w:rPr>
          <w:rFonts w:ascii="Calibri" w:eastAsia="Times New Roman" w:hAnsi="Calibri" w:cs="Calibri"/>
          <w:b/>
          <w:bCs/>
          <w:sz w:val="28"/>
          <w:szCs w:val="28"/>
        </w:rPr>
        <w:t xml:space="preserve"> person ”</w:t>
      </w:r>
      <w:r w:rsidRPr="006134E7">
        <w:rPr>
          <w:rFonts w:ascii="Calibri" w:eastAsia="Times New Roman" w:hAnsi="Calibri" w:cs="Calibri"/>
          <w:sz w:val="28"/>
          <w:szCs w:val="28"/>
        </w:rPr>
        <w:t xml:space="preserve"> means a person registered in terms of </w:t>
      </w:r>
      <w:hyperlink r:id="rId34" w:anchor="4" w:tooltip="#4" w:history="1">
        <w:r w:rsidRPr="006134E7">
          <w:rPr>
            <w:rFonts w:ascii="Calibri" w:eastAsia="Times New Roman" w:hAnsi="Calibri" w:cs="Calibri"/>
            <w:color w:val="0000FF"/>
            <w:sz w:val="28"/>
            <w:szCs w:val="28"/>
            <w:u w:val="single"/>
          </w:rPr>
          <w:t>section 4</w:t>
        </w:r>
      </w:hyperlink>
      <w:r w:rsidRPr="006134E7">
        <w:rPr>
          <w:rFonts w:ascii="Calibri" w:eastAsia="Times New Roman" w:hAnsi="Calibri" w:cs="Calibri"/>
          <w:sz w:val="28"/>
          <w:szCs w:val="28"/>
        </w:rPr>
        <w:t xml:space="preserve"> for the purposes of these regulations.</w:t>
      </w:r>
    </w:p>
    <w:p w14:paraId="1D1724B5"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Grant of rebate</w:t>
      </w:r>
    </w:p>
    <w:p w14:paraId="1BE7F0D3"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b/>
          <w:bCs/>
          <w:sz w:val="28"/>
          <w:szCs w:val="28"/>
        </w:rPr>
        <w:t>3</w:t>
      </w:r>
      <w:r w:rsidRPr="006134E7">
        <w:rPr>
          <w:rFonts w:ascii="Calibri" w:eastAsia="Times New Roman" w:hAnsi="Calibri" w:cs="Calibri"/>
          <w:sz w:val="28"/>
          <w:szCs w:val="28"/>
        </w:rPr>
        <w:t>.  Subject to these regulations, a rebate of duty shall be granted in respect of goods imported or taken out of bond for inward processing.</w:t>
      </w:r>
    </w:p>
    <w:p w14:paraId="2C0E838E"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Registration</w:t>
      </w:r>
    </w:p>
    <w:p w14:paraId="43D99B34"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4</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Any person wishing to import goods or remove goods from bond for inward processing may apply to the proper officer in Form I.P.R. 1 to be registered for the purpose of a grant of a rebate of duty in respect of such goods.</w:t>
      </w:r>
    </w:p>
    <w:p w14:paraId="0E23F1B6"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(2)  Any application referred to in </w:t>
      </w:r>
      <w:hyperlink r:id="rId35" w:anchor="4.1" w:tooltip="#4.1" w:history="1">
        <w:r w:rsidRPr="006134E7">
          <w:rPr>
            <w:rFonts w:ascii="Calibri" w:eastAsia="Times New Roman" w:hAnsi="Calibri" w:cs="Calibri"/>
            <w:color w:val="0000FF"/>
            <w:sz w:val="28"/>
            <w:szCs w:val="28"/>
            <w:u w:val="single"/>
          </w:rPr>
          <w:t>subsection (1)</w:t>
        </w:r>
      </w:hyperlink>
      <w:r w:rsidRPr="006134E7">
        <w:rPr>
          <w:rFonts w:ascii="Calibri" w:eastAsia="Times New Roman" w:hAnsi="Calibri" w:cs="Calibri"/>
          <w:sz w:val="28"/>
          <w:szCs w:val="28"/>
        </w:rPr>
        <w:t xml:space="preserve"> shall be supported by such information or documents as the Commissioner may require.</w:t>
      </w:r>
    </w:p>
    <w:p w14:paraId="13FC821A"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(3)  An application for registration shall be made before the importation or removal from bond of any of the goods intended for inward processing.</w:t>
      </w:r>
    </w:p>
    <w:p w14:paraId="5917CEA6"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lastRenderedPageBreak/>
        <w:t>(4)  On receipt of an application in terms of this section, the proper officer shall inspect the applicant’s premises and machinery, before referring the application and the report of his findings to the Commissioner for consideration.</w:t>
      </w:r>
    </w:p>
    <w:p w14:paraId="015FA0C8"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(5)  If the Commissioner approves the application, he shall call on the applicant to—</w:t>
      </w:r>
    </w:p>
    <w:p w14:paraId="4CA7D067"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 xml:space="preserve">(a)  erect on his premises the stores provided for in </w:t>
      </w:r>
      <w:hyperlink r:id="rId36" w:anchor="5" w:tooltip="#5" w:history="1">
        <w:r w:rsidRPr="006134E7">
          <w:rPr>
            <w:rFonts w:ascii="Calibri" w:eastAsia="Times New Roman" w:hAnsi="Calibri" w:cs="Calibri"/>
            <w:color w:val="0000FF"/>
            <w:sz w:val="28"/>
            <w:szCs w:val="28"/>
            <w:u w:val="single"/>
          </w:rPr>
          <w:t>section 5</w:t>
        </w:r>
      </w:hyperlink>
      <w:r w:rsidRPr="006134E7">
        <w:rPr>
          <w:rFonts w:ascii="Calibri" w:eastAsia="Times New Roman" w:hAnsi="Calibri" w:cs="Calibri"/>
          <w:sz w:val="28"/>
          <w:szCs w:val="28"/>
        </w:rPr>
        <w:t>; and</w:t>
      </w:r>
    </w:p>
    <w:p w14:paraId="5CF2DEA7"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 xml:space="preserve">(b)  </w:t>
      </w:r>
      <w:proofErr w:type="gramStart"/>
      <w:r w:rsidRPr="006134E7">
        <w:rPr>
          <w:rFonts w:ascii="Calibri" w:eastAsia="Times New Roman" w:hAnsi="Calibri" w:cs="Calibri"/>
          <w:sz w:val="28"/>
          <w:szCs w:val="28"/>
        </w:rPr>
        <w:t>enter into</w:t>
      </w:r>
      <w:proofErr w:type="gramEnd"/>
      <w:r w:rsidRPr="006134E7">
        <w:rPr>
          <w:rFonts w:ascii="Calibri" w:eastAsia="Times New Roman" w:hAnsi="Calibri" w:cs="Calibri"/>
          <w:sz w:val="28"/>
          <w:szCs w:val="28"/>
        </w:rPr>
        <w:t xml:space="preserve"> a bond in Form I.P.R. 2, with sufficient surety to secure </w:t>
      </w:r>
      <w:r w:rsidRPr="006134E7">
        <w:rPr>
          <w:rFonts w:ascii="Calibri" w:eastAsia="Times New Roman" w:hAnsi="Calibri" w:cs="Calibri"/>
          <w:b/>
          <w:bCs/>
          <w:sz w:val="28"/>
          <w:szCs w:val="28"/>
        </w:rPr>
        <w:t>30%</w:t>
      </w:r>
      <w:r w:rsidRPr="006134E7">
        <w:rPr>
          <w:rFonts w:ascii="Calibri" w:eastAsia="Times New Roman" w:hAnsi="Calibri" w:cs="Calibri"/>
          <w:sz w:val="28"/>
          <w:szCs w:val="28"/>
        </w:rPr>
        <w:t xml:space="preserve"> of the duty and to ensure compliance with the requirements of these regulations; and</w:t>
      </w:r>
    </w:p>
    <w:p w14:paraId="6C548CCC" w14:textId="77777777" w:rsidR="006134E7" w:rsidRPr="006134E7" w:rsidRDefault="006134E7" w:rsidP="006134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6134E7">
        <w:rPr>
          <w:rFonts w:ascii="Calibri" w:eastAsia="Times New Roman" w:hAnsi="Calibri" w:cs="Calibri"/>
          <w:color w:val="808080"/>
        </w:rPr>
        <w:t>amended by S.I. 309/1998 w.e.f. 16</w:t>
      </w:r>
      <w:r w:rsidRPr="006134E7">
        <w:rPr>
          <w:rFonts w:ascii="Calibri" w:eastAsia="Times New Roman" w:hAnsi="Calibri" w:cs="Calibri"/>
          <w:color w:val="808080"/>
          <w:sz w:val="20"/>
          <w:szCs w:val="20"/>
          <w:vertAlign w:val="superscript"/>
        </w:rPr>
        <w:t>th</w:t>
      </w:r>
      <w:r w:rsidRPr="006134E7">
        <w:rPr>
          <w:rFonts w:ascii="Calibri" w:eastAsia="Times New Roman" w:hAnsi="Calibri" w:cs="Calibri"/>
          <w:color w:val="808080"/>
        </w:rPr>
        <w:t xml:space="preserve"> </w:t>
      </w:r>
      <w:proofErr w:type="gramStart"/>
      <w:r w:rsidRPr="006134E7">
        <w:rPr>
          <w:rFonts w:ascii="Calibri" w:eastAsia="Times New Roman" w:hAnsi="Calibri" w:cs="Calibri"/>
          <w:color w:val="808080"/>
        </w:rPr>
        <w:t>October,</w:t>
      </w:r>
      <w:proofErr w:type="gramEnd"/>
      <w:r w:rsidRPr="006134E7">
        <w:rPr>
          <w:rFonts w:ascii="Calibri" w:eastAsia="Times New Roman" w:hAnsi="Calibri" w:cs="Calibri"/>
          <w:color w:val="808080"/>
        </w:rPr>
        <w:t xml:space="preserve"> 1998</w:t>
      </w:r>
    </w:p>
    <w:p w14:paraId="02AA700A"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(c)  pay the fee referred to in subsection 7.</w:t>
      </w:r>
    </w:p>
    <w:p w14:paraId="5F98E1E8"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(6)  When the application has complied with the requirements of </w:t>
      </w:r>
      <w:hyperlink r:id="rId37" w:anchor="4.5" w:tooltip="#4.5" w:history="1">
        <w:r w:rsidRPr="006134E7">
          <w:rPr>
            <w:rFonts w:ascii="Calibri" w:eastAsia="Times New Roman" w:hAnsi="Calibri" w:cs="Calibri"/>
            <w:color w:val="0000FF"/>
            <w:sz w:val="28"/>
            <w:szCs w:val="28"/>
            <w:u w:val="single"/>
          </w:rPr>
          <w:t>subsection (5)</w:t>
        </w:r>
      </w:hyperlink>
      <w:r w:rsidRPr="006134E7">
        <w:rPr>
          <w:rFonts w:ascii="Calibri" w:eastAsia="Times New Roman" w:hAnsi="Calibri" w:cs="Calibri"/>
          <w:sz w:val="28"/>
          <w:szCs w:val="28"/>
        </w:rPr>
        <w:t xml:space="preserve"> to the satisfaction of the Commissioner, the Commissioner shall register the applicant.</w:t>
      </w:r>
    </w:p>
    <w:p w14:paraId="071F7CEB"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(7)  The fee referred to in </w:t>
      </w:r>
      <w:hyperlink r:id="rId38" w:anchor="4.5" w:tooltip="#4.5" w:history="1">
        <w:r w:rsidRPr="006134E7">
          <w:rPr>
            <w:rFonts w:ascii="Calibri" w:eastAsia="Times New Roman" w:hAnsi="Calibri" w:cs="Calibri"/>
            <w:color w:val="0000FF"/>
            <w:sz w:val="28"/>
            <w:szCs w:val="28"/>
            <w:u w:val="single"/>
          </w:rPr>
          <w:t>subsection (5)</w:t>
        </w:r>
      </w:hyperlink>
      <w:r w:rsidRPr="006134E7">
        <w:rPr>
          <w:rFonts w:ascii="Calibri" w:eastAsia="Times New Roman" w:hAnsi="Calibri" w:cs="Calibri"/>
          <w:sz w:val="28"/>
          <w:szCs w:val="28"/>
        </w:rPr>
        <w:t xml:space="preserve"> shall be </w:t>
      </w:r>
      <w:r w:rsidRPr="006134E7">
        <w:rPr>
          <w:rFonts w:ascii="Calibri" w:eastAsia="Times New Roman" w:hAnsi="Calibri" w:cs="Calibri"/>
          <w:b/>
          <w:bCs/>
          <w:sz w:val="28"/>
          <w:szCs w:val="28"/>
        </w:rPr>
        <w:t>US$ 20</w:t>
      </w:r>
      <w:r w:rsidRPr="006134E7">
        <w:rPr>
          <w:rFonts w:ascii="Calibri" w:eastAsia="Times New Roman" w:hAnsi="Calibri" w:cs="Calibri"/>
          <w:sz w:val="28"/>
          <w:szCs w:val="28"/>
        </w:rPr>
        <w:t>:</w:t>
      </w:r>
    </w:p>
    <w:p w14:paraId="5E08029C" w14:textId="77777777" w:rsidR="006134E7" w:rsidRPr="006134E7" w:rsidRDefault="006134E7" w:rsidP="006134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6134E7">
        <w:rPr>
          <w:rFonts w:ascii="Calibri" w:eastAsia="Times New Roman" w:hAnsi="Calibri" w:cs="Calibri"/>
          <w:color w:val="808080"/>
        </w:rPr>
        <w:t>increased by S.I. 192/06 w.e.f. 1/8/06,</w:t>
      </w:r>
      <w:r w:rsidRPr="006134E7">
        <w:rPr>
          <w:rFonts w:ascii="Calibri" w:eastAsia="Times New Roman" w:hAnsi="Calibri" w:cs="Calibri"/>
          <w:color w:val="808080"/>
        </w:rPr>
        <w:br/>
        <w:t xml:space="preserve">and amended by SI 43/09 from the 24th </w:t>
      </w:r>
      <w:proofErr w:type="gramStart"/>
      <w:r w:rsidRPr="006134E7">
        <w:rPr>
          <w:rFonts w:ascii="Calibri" w:eastAsia="Times New Roman" w:hAnsi="Calibri" w:cs="Calibri"/>
          <w:color w:val="808080"/>
        </w:rPr>
        <w:t>April,</w:t>
      </w:r>
      <w:proofErr w:type="gramEnd"/>
      <w:r w:rsidRPr="006134E7">
        <w:rPr>
          <w:rFonts w:ascii="Calibri" w:eastAsia="Times New Roman" w:hAnsi="Calibri" w:cs="Calibri"/>
          <w:color w:val="808080"/>
        </w:rPr>
        <w:t xml:space="preserve"> 2009.</w:t>
      </w:r>
    </w:p>
    <w:p w14:paraId="74590032"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Provided that where the registration of an applicant is approved after the 30</w:t>
      </w:r>
      <w:r w:rsidRPr="006134E7">
        <w:rPr>
          <w:rFonts w:ascii="Calibri" w:eastAsia="Times New Roman" w:hAnsi="Calibri" w:cs="Calibri"/>
          <w:sz w:val="20"/>
          <w:szCs w:val="20"/>
          <w:vertAlign w:val="superscript"/>
        </w:rPr>
        <w:t>th</w:t>
      </w:r>
      <w:r w:rsidRPr="006134E7">
        <w:rPr>
          <w:rFonts w:ascii="Calibri" w:eastAsia="Times New Roman" w:hAnsi="Calibri" w:cs="Calibri"/>
          <w:sz w:val="28"/>
          <w:szCs w:val="28"/>
        </w:rPr>
        <w:t xml:space="preserve"> June in any year, the fee shall be </w:t>
      </w:r>
      <w:r w:rsidRPr="006134E7">
        <w:rPr>
          <w:rFonts w:ascii="Calibri" w:eastAsia="Times New Roman" w:hAnsi="Calibri" w:cs="Calibri"/>
          <w:b/>
          <w:bCs/>
          <w:sz w:val="28"/>
          <w:szCs w:val="28"/>
        </w:rPr>
        <w:t>1/2</w:t>
      </w:r>
      <w:r w:rsidRPr="006134E7">
        <w:rPr>
          <w:rFonts w:ascii="Calibri" w:eastAsia="Times New Roman" w:hAnsi="Calibri" w:cs="Calibri"/>
          <w:sz w:val="28"/>
          <w:szCs w:val="28"/>
        </w:rPr>
        <w:t xml:space="preserve"> of the fee referred to in this subsection.</w:t>
      </w:r>
    </w:p>
    <w:p w14:paraId="15698317"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(8)  A fee of </w:t>
      </w:r>
      <w:r w:rsidRPr="006134E7">
        <w:rPr>
          <w:rFonts w:ascii="Calibri" w:eastAsia="Times New Roman" w:hAnsi="Calibri" w:cs="Calibri"/>
          <w:b/>
          <w:bCs/>
          <w:sz w:val="28"/>
          <w:szCs w:val="28"/>
        </w:rPr>
        <w:t>US$ 20</w:t>
      </w:r>
      <w:r w:rsidRPr="006134E7">
        <w:rPr>
          <w:rFonts w:ascii="Calibri" w:eastAsia="Times New Roman" w:hAnsi="Calibri" w:cs="Calibri"/>
          <w:sz w:val="28"/>
          <w:szCs w:val="28"/>
        </w:rPr>
        <w:t xml:space="preserve"> for the renewal of the registration shall be payable annually on or before the 31</w:t>
      </w:r>
      <w:r w:rsidRPr="006134E7">
        <w:rPr>
          <w:rFonts w:ascii="Calibri" w:eastAsia="Times New Roman" w:hAnsi="Calibri" w:cs="Calibri"/>
          <w:sz w:val="20"/>
          <w:szCs w:val="20"/>
          <w:vertAlign w:val="superscript"/>
        </w:rPr>
        <w:t>st</w:t>
      </w:r>
      <w:r w:rsidRPr="006134E7">
        <w:rPr>
          <w:rFonts w:ascii="Calibri" w:eastAsia="Times New Roman" w:hAnsi="Calibri" w:cs="Calibri"/>
          <w:sz w:val="28"/>
          <w:szCs w:val="28"/>
        </w:rPr>
        <w:t xml:space="preserve"> January.</w:t>
      </w:r>
    </w:p>
    <w:p w14:paraId="0BD6C5D3" w14:textId="77777777" w:rsidR="006134E7" w:rsidRPr="006134E7" w:rsidRDefault="006134E7" w:rsidP="006134E7">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6134E7">
        <w:rPr>
          <w:rFonts w:ascii="Calibri" w:eastAsia="Times New Roman" w:hAnsi="Calibri" w:cs="Calibri"/>
          <w:color w:val="808080"/>
        </w:rPr>
        <w:t>increased by S.I. 192/06 w.e.f. 1/8/06,</w:t>
      </w:r>
      <w:r w:rsidRPr="006134E7">
        <w:rPr>
          <w:rFonts w:ascii="Calibri" w:eastAsia="Times New Roman" w:hAnsi="Calibri" w:cs="Calibri"/>
          <w:color w:val="808080"/>
        </w:rPr>
        <w:br/>
        <w:t xml:space="preserve">and amended by SI 43/09 from the 24th </w:t>
      </w:r>
      <w:proofErr w:type="gramStart"/>
      <w:r w:rsidRPr="006134E7">
        <w:rPr>
          <w:rFonts w:ascii="Calibri" w:eastAsia="Times New Roman" w:hAnsi="Calibri" w:cs="Calibri"/>
          <w:color w:val="808080"/>
        </w:rPr>
        <w:t>April,</w:t>
      </w:r>
      <w:proofErr w:type="gramEnd"/>
      <w:r w:rsidRPr="006134E7">
        <w:rPr>
          <w:rFonts w:ascii="Calibri" w:eastAsia="Times New Roman" w:hAnsi="Calibri" w:cs="Calibri"/>
          <w:color w:val="808080"/>
        </w:rPr>
        <w:t xml:space="preserve"> 2009.</w:t>
      </w:r>
    </w:p>
    <w:p w14:paraId="496FF988"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(9)  The Commissioner may reject an application for registration if he </w:t>
      </w:r>
      <w:proofErr w:type="gramStart"/>
      <w:r w:rsidRPr="006134E7">
        <w:rPr>
          <w:rFonts w:ascii="Calibri" w:eastAsia="Times New Roman" w:hAnsi="Calibri" w:cs="Calibri"/>
          <w:sz w:val="28"/>
          <w:szCs w:val="28"/>
        </w:rPr>
        <w:t>is of the opinion that</w:t>
      </w:r>
      <w:proofErr w:type="gramEnd"/>
      <w:r w:rsidRPr="006134E7">
        <w:rPr>
          <w:rFonts w:ascii="Calibri" w:eastAsia="Times New Roman" w:hAnsi="Calibri" w:cs="Calibri"/>
          <w:sz w:val="28"/>
          <w:szCs w:val="28"/>
        </w:rPr>
        <w:t>—</w:t>
      </w:r>
    </w:p>
    <w:p w14:paraId="67C4B3FD"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(a)  it is not intended to export the compensating products;</w:t>
      </w:r>
    </w:p>
    <w:p w14:paraId="0039EC19"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(b)  adequate control of goods imported or taken out of bond for inward processing is not likely to be maintained; or</w:t>
      </w:r>
    </w:p>
    <w:p w14:paraId="49231FDF"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(c)  any provisions of these regulations will not be complied with.</w:t>
      </w:r>
    </w:p>
    <w:p w14:paraId="638A8EF8"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Storage of rebate materials and compensating products</w:t>
      </w:r>
    </w:p>
    <w:p w14:paraId="559BA9F7"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lastRenderedPageBreak/>
        <w:t>5</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The applicant shall provide on his premises, separate secure stores for the safe storage of goods on which duty has been rebated, and for compensating products, and shall, at his own expense, provide the necessary fastenings so that the stores may be secured with customs locks.</w:t>
      </w:r>
    </w:p>
    <w:p w14:paraId="4FD45BD2"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(2)  No goods on which duty has been rebated or compensating products may be stored elsewhere than in the stores provided for in </w:t>
      </w:r>
      <w:hyperlink r:id="rId39" w:anchor="5.1" w:tooltip="#5.1" w:history="1">
        <w:r w:rsidRPr="006134E7">
          <w:rPr>
            <w:rFonts w:ascii="Calibri" w:eastAsia="Times New Roman" w:hAnsi="Calibri" w:cs="Calibri"/>
            <w:color w:val="0000FF"/>
            <w:sz w:val="28"/>
            <w:szCs w:val="28"/>
            <w:u w:val="single"/>
          </w:rPr>
          <w:t>subsection (1)</w:t>
        </w:r>
      </w:hyperlink>
      <w:r w:rsidRPr="006134E7">
        <w:rPr>
          <w:rFonts w:ascii="Calibri" w:eastAsia="Times New Roman" w:hAnsi="Calibri" w:cs="Calibri"/>
          <w:sz w:val="28"/>
          <w:szCs w:val="28"/>
        </w:rPr>
        <w:t>, and no such stores shall, without the prior written permission of the proper officer, be used for any other purpose.</w:t>
      </w:r>
    </w:p>
    <w:p w14:paraId="20D36121"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Clearance of goods</w:t>
      </w:r>
    </w:p>
    <w:p w14:paraId="684200A8"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6</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Goods to be entered under the rebate of duty provided for in these regulations shall be entered for consumption at the port of entry nearest to the premises of the registered person.</w:t>
      </w:r>
    </w:p>
    <w:p w14:paraId="47202CC9"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(2)  A registered person shall, when effecting entry on importation, or on removal from bond of goods intended for inward processing, submit with the relevant bill of entry a declaration signed by him, to the effect that the goods are to be used solely for the purpose specified in these regulations and the compensating products resulting therefrom will be exported.</w:t>
      </w:r>
    </w:p>
    <w:p w14:paraId="3862E93F"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(3)  The officer responsible for clearing the goods may take a sample of the goods described in the bill of entry for retention in the custom house together with a copy of the bill of entry.</w:t>
      </w:r>
    </w:p>
    <w:p w14:paraId="459AE1A4"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Transfer of goods imported or taken out of bond under rebate</w:t>
      </w:r>
    </w:p>
    <w:p w14:paraId="61CF1C8E"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7</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Goods shall qualify for a rebate in terms of these regulations only if they are imported or taken out of bond by a registered person and y transfer of such goods to any person before exportation may be made only with the approval of the Commissioner, on such conditions as he may fix, on application being made to him by a registered person—</w:t>
      </w:r>
    </w:p>
    <w:p w14:paraId="61875477"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(a)  in form I.P.R.3 in the case of a transfer to any other person registered in terms of these regulations; or</w:t>
      </w:r>
    </w:p>
    <w:p w14:paraId="1FC0541D"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(b)  in form I.P.R.4 in the case of a transfer to a subcontractor for further processing.</w:t>
      </w:r>
    </w:p>
    <w:p w14:paraId="3067B22E"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(2)  Where goods are transferred by a registered person to a subcontractor in terms of </w:t>
      </w:r>
      <w:hyperlink r:id="rId40" w:anchor="7.1.b" w:tooltip="#7.1.b" w:history="1">
        <w:r w:rsidRPr="006134E7">
          <w:rPr>
            <w:rFonts w:ascii="Calibri" w:eastAsia="Times New Roman" w:hAnsi="Calibri" w:cs="Calibri"/>
            <w:color w:val="0000FF"/>
            <w:sz w:val="28"/>
            <w:szCs w:val="28"/>
            <w:u w:val="single"/>
          </w:rPr>
          <w:t>paragraph (</w:t>
        </w:r>
        <w:r w:rsidRPr="006134E7">
          <w:rPr>
            <w:rFonts w:ascii="Calibri" w:eastAsia="Times New Roman" w:hAnsi="Calibri" w:cs="Calibri"/>
            <w:i/>
            <w:iCs/>
            <w:color w:val="0000FF"/>
            <w:sz w:val="28"/>
            <w:szCs w:val="28"/>
            <w:u w:val="single"/>
          </w:rPr>
          <w:t>b</w:t>
        </w:r>
        <w:r w:rsidRPr="006134E7">
          <w:rPr>
            <w:rFonts w:ascii="Calibri" w:eastAsia="Times New Roman" w:hAnsi="Calibri" w:cs="Calibri"/>
            <w:color w:val="0000FF"/>
            <w:sz w:val="28"/>
            <w:szCs w:val="28"/>
            <w:u w:val="single"/>
          </w:rPr>
          <w:t>) of subsection (1)</w:t>
        </w:r>
      </w:hyperlink>
      <w:r w:rsidRPr="006134E7">
        <w:rPr>
          <w:rFonts w:ascii="Calibri" w:eastAsia="Times New Roman" w:hAnsi="Calibri" w:cs="Calibri"/>
          <w:sz w:val="28"/>
          <w:szCs w:val="28"/>
        </w:rPr>
        <w:t xml:space="preserve">, the registered person shall remain liable </w:t>
      </w:r>
      <w:r w:rsidRPr="006134E7">
        <w:rPr>
          <w:rFonts w:ascii="Calibri" w:eastAsia="Times New Roman" w:hAnsi="Calibri" w:cs="Calibri"/>
          <w:sz w:val="28"/>
          <w:szCs w:val="28"/>
        </w:rPr>
        <w:lastRenderedPageBreak/>
        <w:t>for any duty which may become due and payable in the event the goods are not accounted for to the satisfaction of the Commissioner.</w:t>
      </w:r>
    </w:p>
    <w:p w14:paraId="152B59CB"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Period within which goods must be exported</w:t>
      </w:r>
    </w:p>
    <w:p w14:paraId="3B20745F"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8</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A registered person shall export as compensating products goods entered under rebate in terms of these regulations within12 months of the date of the grant of such rebate or within such longer period as the Commissioner may allow.</w:t>
      </w:r>
    </w:p>
    <w:p w14:paraId="671D401E"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(2)  Where a registered person fails to comply with </w:t>
      </w:r>
      <w:hyperlink r:id="rId41" w:anchor="8.1" w:tooltip="#8.1" w:history="1">
        <w:r w:rsidRPr="006134E7">
          <w:rPr>
            <w:rFonts w:ascii="Calibri" w:eastAsia="Times New Roman" w:hAnsi="Calibri" w:cs="Calibri"/>
            <w:color w:val="0000FF"/>
            <w:sz w:val="28"/>
            <w:szCs w:val="28"/>
            <w:u w:val="single"/>
          </w:rPr>
          <w:t>subsection (1)</w:t>
        </w:r>
      </w:hyperlink>
      <w:r w:rsidRPr="006134E7">
        <w:rPr>
          <w:rFonts w:ascii="Calibri" w:eastAsia="Times New Roman" w:hAnsi="Calibri" w:cs="Calibri"/>
          <w:sz w:val="28"/>
          <w:szCs w:val="28"/>
        </w:rPr>
        <w:t>, duty shall immediately become due and payable.</w:t>
      </w:r>
    </w:p>
    <w:p w14:paraId="6831B668"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Disposal of goods entered under rebate</w:t>
      </w:r>
    </w:p>
    <w:p w14:paraId="562FA91E"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9</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Subject to these regulations, no person shall sell, use, remove from the premises of the registered person or in any way dispose of any goods entered under rebate otherwise than in accordance with the provisions of these regulations unless he has obtained the authority of the Commissioner to otherwise dispose of the goods.</w:t>
      </w:r>
    </w:p>
    <w:p w14:paraId="7D77CEF8"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(2)  The proper officer my </w:t>
      </w:r>
      <w:proofErr w:type="spellStart"/>
      <w:r w:rsidRPr="006134E7">
        <w:rPr>
          <w:rFonts w:ascii="Calibri" w:eastAsia="Times New Roman" w:hAnsi="Calibri" w:cs="Calibri"/>
          <w:sz w:val="28"/>
          <w:szCs w:val="28"/>
        </w:rPr>
        <w:t>authorise</w:t>
      </w:r>
      <w:proofErr w:type="spellEnd"/>
      <w:r w:rsidRPr="006134E7">
        <w:rPr>
          <w:rFonts w:ascii="Calibri" w:eastAsia="Times New Roman" w:hAnsi="Calibri" w:cs="Calibri"/>
          <w:sz w:val="28"/>
          <w:szCs w:val="28"/>
        </w:rPr>
        <w:t xml:space="preserve"> the disposal by destruction or other means of any scrap or waste from any process referred to in these regulations without the payment of duty if, in his opinion, the goods cannot be economically used for the same purpose as similar goods, not being scrap or waste, are used.</w:t>
      </w:r>
    </w:p>
    <w:p w14:paraId="784BEF95"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(3)  The proper officer may </w:t>
      </w:r>
      <w:proofErr w:type="spellStart"/>
      <w:r w:rsidRPr="006134E7">
        <w:rPr>
          <w:rFonts w:ascii="Calibri" w:eastAsia="Times New Roman" w:hAnsi="Calibri" w:cs="Calibri"/>
          <w:sz w:val="28"/>
          <w:szCs w:val="28"/>
        </w:rPr>
        <w:t>authorise</w:t>
      </w:r>
      <w:proofErr w:type="spellEnd"/>
      <w:r w:rsidRPr="006134E7">
        <w:rPr>
          <w:rFonts w:ascii="Calibri" w:eastAsia="Times New Roman" w:hAnsi="Calibri" w:cs="Calibri"/>
          <w:sz w:val="28"/>
          <w:szCs w:val="28"/>
        </w:rPr>
        <w:t xml:space="preserve"> the disposal of goods other than those referred to in </w:t>
      </w:r>
      <w:hyperlink r:id="rId42" w:anchor="9.2" w:tooltip="#9.2" w:history="1">
        <w:r w:rsidRPr="006134E7">
          <w:rPr>
            <w:rFonts w:ascii="Calibri" w:eastAsia="Times New Roman" w:hAnsi="Calibri" w:cs="Calibri"/>
            <w:color w:val="0000FF"/>
            <w:sz w:val="28"/>
            <w:szCs w:val="28"/>
            <w:u w:val="single"/>
          </w:rPr>
          <w:t>subsection (2)</w:t>
        </w:r>
      </w:hyperlink>
      <w:r w:rsidRPr="006134E7">
        <w:rPr>
          <w:rFonts w:ascii="Calibri" w:eastAsia="Times New Roman" w:hAnsi="Calibri" w:cs="Calibri"/>
          <w:sz w:val="28"/>
          <w:szCs w:val="28"/>
        </w:rPr>
        <w:t xml:space="preserve"> on payment of the rebated duty if, in his opinion, the goods cannot be used for the purpose for which they were imported or taken out of bond.</w:t>
      </w:r>
    </w:p>
    <w:p w14:paraId="14333220"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(4)  Where, in his opinion, there are sufficient reasons for doing so, the Commissioner may </w:t>
      </w:r>
      <w:proofErr w:type="spellStart"/>
      <w:r w:rsidRPr="006134E7">
        <w:rPr>
          <w:rFonts w:ascii="Calibri" w:eastAsia="Times New Roman" w:hAnsi="Calibri" w:cs="Calibri"/>
          <w:sz w:val="28"/>
          <w:szCs w:val="28"/>
        </w:rPr>
        <w:t>authorise</w:t>
      </w:r>
      <w:proofErr w:type="spellEnd"/>
      <w:r w:rsidRPr="006134E7">
        <w:rPr>
          <w:rFonts w:ascii="Calibri" w:eastAsia="Times New Roman" w:hAnsi="Calibri" w:cs="Calibri"/>
          <w:sz w:val="28"/>
          <w:szCs w:val="28"/>
        </w:rPr>
        <w:t>, under such conditions as he may fix and on payment of the rebated duty, the clearance for consumption of any compensating or intermediate products or imported goods in the unaltered state.</w:t>
      </w:r>
    </w:p>
    <w:p w14:paraId="0B16A702"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Remission of duty on destroyed goods</w:t>
      </w:r>
    </w:p>
    <w:p w14:paraId="7F119FBC"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b/>
          <w:bCs/>
          <w:sz w:val="28"/>
          <w:szCs w:val="28"/>
        </w:rPr>
        <w:t>10</w:t>
      </w:r>
      <w:r w:rsidRPr="006134E7">
        <w:rPr>
          <w:rFonts w:ascii="Calibri" w:eastAsia="Times New Roman" w:hAnsi="Calibri" w:cs="Calibri"/>
          <w:sz w:val="28"/>
          <w:szCs w:val="28"/>
        </w:rPr>
        <w:t>.  Where imported goods in the unaltered state or compensating or intermediate products are destroyed with the permission of the Commissioner, or have been, in the opinion of the Commissioner, destroyed accidentally and are deprived of all value, or are lost, the duty due on such goods may be remitted.</w:t>
      </w:r>
    </w:p>
    <w:p w14:paraId="6229EF59"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Maintenance of records</w:t>
      </w:r>
    </w:p>
    <w:p w14:paraId="7DD01381"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lastRenderedPageBreak/>
        <w:t>11</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A registered person shall maintain records in such form and manner as may be approved by the Commissioner showing full particulars of—</w:t>
      </w:r>
    </w:p>
    <w:p w14:paraId="32892477"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 xml:space="preserve">(a)  all the goods imported or taken out of bond and how they have been </w:t>
      </w:r>
      <w:proofErr w:type="spellStart"/>
      <w:r w:rsidRPr="006134E7">
        <w:rPr>
          <w:rFonts w:ascii="Calibri" w:eastAsia="Times New Roman" w:hAnsi="Calibri" w:cs="Calibri"/>
          <w:sz w:val="28"/>
          <w:szCs w:val="28"/>
        </w:rPr>
        <w:t>utilised</w:t>
      </w:r>
      <w:proofErr w:type="spellEnd"/>
      <w:r w:rsidRPr="006134E7">
        <w:rPr>
          <w:rFonts w:ascii="Calibri" w:eastAsia="Times New Roman" w:hAnsi="Calibri" w:cs="Calibri"/>
          <w:sz w:val="28"/>
          <w:szCs w:val="28"/>
        </w:rPr>
        <w:t xml:space="preserve"> or disposed of; and</w:t>
      </w:r>
    </w:p>
    <w:p w14:paraId="5248B296"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(b)  all the compensating or intermediate products produced and how they have been disposed of; and</w:t>
      </w:r>
    </w:p>
    <w:p w14:paraId="49F7F7AA"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(2)  A registered person who fails to keep any records required by the Commissioner in relation to any goods shall be deemed to have used the goods on which duty has been rebated for a purpose other than that for which they were imported, or taken out of bond and, unless the Commissioner is satisfied to the contrary, the rebated duty shall immediately become due and payable.</w:t>
      </w:r>
    </w:p>
    <w:p w14:paraId="48E5000F"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(3)  Officers may at any time inspect the premises or records of a registered person to ensure that these regulations are being complied with.</w:t>
      </w:r>
    </w:p>
    <w:p w14:paraId="14402E59"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(4)  </w:t>
      </w:r>
      <w:proofErr w:type="gramStart"/>
      <w:r w:rsidRPr="006134E7">
        <w:rPr>
          <w:rFonts w:ascii="Calibri" w:eastAsia="Times New Roman" w:hAnsi="Calibri" w:cs="Calibri"/>
          <w:sz w:val="28"/>
          <w:szCs w:val="28"/>
        </w:rPr>
        <w:t>A registered persons</w:t>
      </w:r>
      <w:proofErr w:type="gramEnd"/>
      <w:r w:rsidRPr="006134E7">
        <w:rPr>
          <w:rFonts w:ascii="Calibri" w:eastAsia="Times New Roman" w:hAnsi="Calibri" w:cs="Calibri"/>
          <w:sz w:val="28"/>
          <w:szCs w:val="28"/>
        </w:rPr>
        <w:t xml:space="preserve"> shall, when required to do so by the proper officer—</w:t>
      </w:r>
    </w:p>
    <w:p w14:paraId="7D3EB936"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(a)  carry out under the supervision of the officer and at such times as the officer may consider appropriate any operation in which goods entered under rebate are used;</w:t>
      </w:r>
    </w:p>
    <w:p w14:paraId="6A544540"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(b)  render a return on his operations in such form and manner as the Commissioner, may approve.</w:t>
      </w:r>
    </w:p>
    <w:p w14:paraId="3DF1932C"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t>Cancellation of registration</w:t>
      </w:r>
    </w:p>
    <w:p w14:paraId="77A7E08A" w14:textId="77777777" w:rsidR="006134E7" w:rsidRPr="006134E7" w:rsidRDefault="006134E7" w:rsidP="006134E7">
      <w:pPr>
        <w:spacing w:after="150" w:line="240" w:lineRule="auto"/>
        <w:rPr>
          <w:rFonts w:ascii="Calibri" w:eastAsia="Times New Roman" w:hAnsi="Calibri" w:cs="Calibri"/>
          <w:sz w:val="28"/>
          <w:szCs w:val="28"/>
        </w:rPr>
      </w:pPr>
      <w:proofErr w:type="gramStart"/>
      <w:r w:rsidRPr="006134E7">
        <w:rPr>
          <w:rFonts w:ascii="Calibri" w:eastAsia="Times New Roman" w:hAnsi="Calibri" w:cs="Calibri"/>
          <w:b/>
          <w:bCs/>
          <w:sz w:val="28"/>
          <w:szCs w:val="28"/>
        </w:rPr>
        <w:t>12</w:t>
      </w:r>
      <w:r w:rsidRPr="006134E7">
        <w:rPr>
          <w:rFonts w:ascii="Calibri" w:eastAsia="Times New Roman" w:hAnsi="Calibri" w:cs="Calibri"/>
          <w:sz w:val="28"/>
          <w:szCs w:val="28"/>
        </w:rPr>
        <w:t>.  (</w:t>
      </w:r>
      <w:proofErr w:type="gramEnd"/>
      <w:r w:rsidRPr="006134E7">
        <w:rPr>
          <w:rFonts w:ascii="Calibri" w:eastAsia="Times New Roman" w:hAnsi="Calibri" w:cs="Calibri"/>
          <w:sz w:val="28"/>
          <w:szCs w:val="28"/>
        </w:rPr>
        <w:t>1)  The Commissioner may cancel or suspend the registration of a person if the person—</w:t>
      </w:r>
    </w:p>
    <w:p w14:paraId="7E5DFB00"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(a)  ceases to import goods for inward processing; or</w:t>
      </w:r>
    </w:p>
    <w:p w14:paraId="76732C5A"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(b)  fails to comply with or contravenes any of the provisions of these regulations; or</w:t>
      </w:r>
    </w:p>
    <w:p w14:paraId="3B79748D"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 xml:space="preserve">(c)  fails to pay the fees for the renewal of registration in accordance with </w:t>
      </w:r>
      <w:hyperlink r:id="rId43" w:anchor="4.8" w:tooltip="#4.8" w:history="1">
        <w:r w:rsidRPr="006134E7">
          <w:rPr>
            <w:rFonts w:ascii="Calibri" w:eastAsia="Times New Roman" w:hAnsi="Calibri" w:cs="Calibri"/>
            <w:color w:val="0000FF"/>
            <w:sz w:val="28"/>
            <w:szCs w:val="28"/>
            <w:u w:val="single"/>
          </w:rPr>
          <w:t>subsection (8) of section 4</w:t>
        </w:r>
      </w:hyperlink>
      <w:r w:rsidRPr="006134E7">
        <w:rPr>
          <w:rFonts w:ascii="Calibri" w:eastAsia="Times New Roman" w:hAnsi="Calibri" w:cs="Calibri"/>
          <w:sz w:val="28"/>
          <w:szCs w:val="28"/>
        </w:rPr>
        <w:t>; or</w:t>
      </w:r>
    </w:p>
    <w:p w14:paraId="3D7928CE" w14:textId="77777777" w:rsidR="006134E7" w:rsidRPr="006134E7" w:rsidRDefault="006134E7" w:rsidP="006134E7">
      <w:pPr>
        <w:spacing w:after="150" w:line="240" w:lineRule="auto"/>
        <w:ind w:left="720"/>
        <w:rPr>
          <w:rFonts w:ascii="Calibri" w:eastAsia="Times New Roman" w:hAnsi="Calibri" w:cs="Calibri"/>
          <w:sz w:val="28"/>
          <w:szCs w:val="28"/>
        </w:rPr>
      </w:pPr>
      <w:r w:rsidRPr="006134E7">
        <w:rPr>
          <w:rFonts w:ascii="Calibri" w:eastAsia="Times New Roman" w:hAnsi="Calibri" w:cs="Calibri"/>
          <w:sz w:val="28"/>
          <w:szCs w:val="28"/>
        </w:rPr>
        <w:t xml:space="preserve">(d)  </w:t>
      </w:r>
      <w:proofErr w:type="gramStart"/>
      <w:r w:rsidRPr="006134E7">
        <w:rPr>
          <w:rFonts w:ascii="Calibri" w:eastAsia="Times New Roman" w:hAnsi="Calibri" w:cs="Calibri"/>
          <w:sz w:val="28"/>
          <w:szCs w:val="28"/>
        </w:rPr>
        <w:t>so</w:t>
      </w:r>
      <w:proofErr w:type="gramEnd"/>
      <w:r w:rsidRPr="006134E7">
        <w:rPr>
          <w:rFonts w:ascii="Calibri" w:eastAsia="Times New Roman" w:hAnsi="Calibri" w:cs="Calibri"/>
          <w:sz w:val="28"/>
          <w:szCs w:val="28"/>
        </w:rPr>
        <w:t xml:space="preserve"> requests.</w:t>
      </w:r>
    </w:p>
    <w:p w14:paraId="6C1F29AB"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(2)  If any registration is cancelled in terms of </w:t>
      </w:r>
      <w:hyperlink r:id="rId44" w:anchor="12.1" w:tooltip="#12.1" w:history="1">
        <w:r w:rsidRPr="006134E7">
          <w:rPr>
            <w:rFonts w:ascii="Calibri" w:eastAsia="Times New Roman" w:hAnsi="Calibri" w:cs="Calibri"/>
            <w:color w:val="0000FF"/>
            <w:sz w:val="28"/>
            <w:szCs w:val="28"/>
            <w:u w:val="single"/>
          </w:rPr>
          <w:t>subsection (1)</w:t>
        </w:r>
      </w:hyperlink>
      <w:r w:rsidRPr="006134E7">
        <w:rPr>
          <w:rFonts w:ascii="Calibri" w:eastAsia="Times New Roman" w:hAnsi="Calibri" w:cs="Calibri"/>
          <w:sz w:val="28"/>
          <w:szCs w:val="28"/>
        </w:rPr>
        <w:t>, any duty rebated on any goods not already exported as compensating products shall immediately become due and payable.</w:t>
      </w:r>
    </w:p>
    <w:p w14:paraId="028E863A"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i/>
          <w:iCs/>
          <w:sz w:val="28"/>
          <w:szCs w:val="28"/>
        </w:rPr>
        <w:lastRenderedPageBreak/>
        <w:t>Repeals</w:t>
      </w:r>
    </w:p>
    <w:p w14:paraId="30C01159"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b/>
          <w:bCs/>
          <w:sz w:val="28"/>
          <w:szCs w:val="28"/>
        </w:rPr>
        <w:t>13</w:t>
      </w:r>
      <w:r w:rsidRPr="006134E7">
        <w:rPr>
          <w:rFonts w:ascii="Calibri" w:eastAsia="Times New Roman" w:hAnsi="Calibri" w:cs="Calibri"/>
          <w:sz w:val="28"/>
          <w:szCs w:val="28"/>
        </w:rPr>
        <w:t>.  The regulations specified in the second Schedule are repealed.</w:t>
      </w:r>
    </w:p>
    <w:p w14:paraId="5366589A"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b/>
          <w:bCs/>
          <w:sz w:val="28"/>
          <w:szCs w:val="28"/>
        </w:rPr>
        <w:t>First Schedule (</w:t>
      </w:r>
      <w:hyperlink r:id="rId45" w:anchor="2" w:tooltip="#2" w:history="1">
        <w:r w:rsidRPr="006134E7">
          <w:rPr>
            <w:rFonts w:ascii="Calibri" w:eastAsia="Times New Roman" w:hAnsi="Calibri" w:cs="Calibri"/>
            <w:b/>
            <w:bCs/>
            <w:i/>
            <w:iCs/>
            <w:color w:val="0000FF"/>
            <w:sz w:val="28"/>
            <w:szCs w:val="28"/>
            <w:u w:val="single"/>
          </w:rPr>
          <w:t>Section 2</w:t>
        </w:r>
      </w:hyperlink>
      <w:r w:rsidRPr="006134E7">
        <w:rPr>
          <w:rFonts w:ascii="Calibri" w:eastAsia="Times New Roman" w:hAnsi="Calibri" w:cs="Calibri"/>
          <w:b/>
          <w:bCs/>
          <w:sz w:val="28"/>
          <w:szCs w:val="28"/>
        </w:rPr>
        <w:t>)</w:t>
      </w:r>
      <w:r w:rsidRPr="006134E7">
        <w:rPr>
          <w:rFonts w:ascii="Calibri" w:eastAsia="Times New Roman" w:hAnsi="Calibri" w:cs="Calibri"/>
          <w:b/>
          <w:bCs/>
          <w:sz w:val="28"/>
          <w:szCs w:val="28"/>
        </w:rPr>
        <w:br/>
        <w:t>APPROPRIATE FORMS</w:t>
      </w:r>
    </w:p>
    <w:p w14:paraId="1861F18D"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b/>
          <w:bCs/>
          <w:sz w:val="28"/>
          <w:szCs w:val="28"/>
        </w:rPr>
        <w:t>Form Number</w:t>
      </w:r>
      <w:r w:rsidRPr="006134E7">
        <w:rPr>
          <w:rFonts w:ascii="Calibri" w:eastAsia="Times New Roman" w:hAnsi="Calibri" w:cs="Calibri"/>
          <w:sz w:val="28"/>
          <w:szCs w:val="28"/>
        </w:rPr>
        <w:t>    </w:t>
      </w:r>
      <w:r w:rsidRPr="006134E7">
        <w:rPr>
          <w:rFonts w:ascii="Calibri" w:eastAsia="Times New Roman" w:hAnsi="Calibri" w:cs="Calibri"/>
          <w:b/>
          <w:bCs/>
          <w:sz w:val="28"/>
          <w:szCs w:val="28"/>
        </w:rPr>
        <w:t>Titles</w:t>
      </w:r>
    </w:p>
    <w:p w14:paraId="007C6D64"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I.P.R. 1    Application for registration</w:t>
      </w:r>
    </w:p>
    <w:p w14:paraId="407D4D86"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I.P.R. 2    Security Bond</w:t>
      </w:r>
    </w:p>
    <w:p w14:paraId="2213F05D"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I.P.R 3    Transfer of goods to a registered person</w:t>
      </w:r>
    </w:p>
    <w:p w14:paraId="71F8E730"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I.P.R. 4    Transfer of goods to subcontractor for processing</w:t>
      </w:r>
    </w:p>
    <w:p w14:paraId="74CA209C"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 xml:space="preserve">In terms of </w:t>
      </w:r>
      <w:hyperlink r:id="rId46" w:anchor="5.2" w:tooltip="ZS@0101#5.2" w:history="1">
        <w:r w:rsidRPr="006134E7">
          <w:rPr>
            <w:rFonts w:ascii="Calibri" w:eastAsia="Times New Roman" w:hAnsi="Calibri" w:cs="Calibri"/>
            <w:color w:val="0000FF"/>
            <w:sz w:val="28"/>
            <w:szCs w:val="28"/>
            <w:u w:val="single"/>
          </w:rPr>
          <w:t>section 5(2) of the Interpretation Act [</w:t>
        </w:r>
        <w:r w:rsidRPr="006134E7">
          <w:rPr>
            <w:rFonts w:ascii="Calibri" w:eastAsia="Times New Roman" w:hAnsi="Calibri" w:cs="Calibri"/>
            <w:i/>
            <w:iCs/>
            <w:color w:val="0000FF"/>
            <w:sz w:val="28"/>
            <w:szCs w:val="28"/>
            <w:u w:val="single"/>
          </w:rPr>
          <w:t>Chapter 1:01</w:t>
        </w:r>
        <w:r w:rsidRPr="006134E7">
          <w:rPr>
            <w:rFonts w:ascii="Calibri" w:eastAsia="Times New Roman" w:hAnsi="Calibri" w:cs="Calibri"/>
            <w:color w:val="0000FF"/>
            <w:sz w:val="28"/>
            <w:szCs w:val="28"/>
            <w:u w:val="single"/>
          </w:rPr>
          <w:t>]</w:t>
        </w:r>
      </w:hyperlink>
      <w:r w:rsidRPr="006134E7">
        <w:rPr>
          <w:rFonts w:ascii="Calibri" w:eastAsia="Times New Roman" w:hAnsi="Calibri" w:cs="Calibri"/>
          <w:sz w:val="28"/>
          <w:szCs w:val="28"/>
        </w:rPr>
        <w:t>, these forms are not published in these regulations. They may be inspected free of charge at the offices of the Zimbabwe Revenue Authority, Harare, or at any of the offices of ZIMRA in any district.</w:t>
      </w:r>
    </w:p>
    <w:p w14:paraId="0951EA66" w14:textId="77777777" w:rsidR="006134E7" w:rsidRPr="006134E7" w:rsidRDefault="006134E7" w:rsidP="006134E7">
      <w:pPr>
        <w:spacing w:after="150" w:line="240" w:lineRule="auto"/>
        <w:jc w:val="center"/>
        <w:rPr>
          <w:rFonts w:ascii="Calibri" w:eastAsia="Times New Roman" w:hAnsi="Calibri" w:cs="Calibri"/>
          <w:sz w:val="28"/>
          <w:szCs w:val="28"/>
        </w:rPr>
      </w:pPr>
      <w:r w:rsidRPr="006134E7">
        <w:rPr>
          <w:rFonts w:ascii="Calibri" w:eastAsia="Times New Roman" w:hAnsi="Calibri" w:cs="Calibri"/>
          <w:b/>
          <w:bCs/>
          <w:sz w:val="28"/>
          <w:szCs w:val="28"/>
        </w:rPr>
        <w:t>Second Schedule (</w:t>
      </w:r>
      <w:hyperlink r:id="rId47" w:anchor="13" w:tooltip="#13" w:history="1">
        <w:r w:rsidRPr="006134E7">
          <w:rPr>
            <w:rFonts w:ascii="Calibri" w:eastAsia="Times New Roman" w:hAnsi="Calibri" w:cs="Calibri"/>
            <w:b/>
            <w:bCs/>
            <w:i/>
            <w:iCs/>
            <w:color w:val="0000FF"/>
            <w:sz w:val="28"/>
            <w:szCs w:val="28"/>
            <w:u w:val="single"/>
          </w:rPr>
          <w:t>Section 13</w:t>
        </w:r>
      </w:hyperlink>
      <w:r w:rsidRPr="006134E7">
        <w:rPr>
          <w:rFonts w:ascii="Calibri" w:eastAsia="Times New Roman" w:hAnsi="Calibri" w:cs="Calibri"/>
          <w:b/>
          <w:bCs/>
          <w:sz w:val="28"/>
          <w:szCs w:val="28"/>
        </w:rPr>
        <w:t>)</w:t>
      </w:r>
      <w:r w:rsidRPr="006134E7">
        <w:rPr>
          <w:rFonts w:ascii="Calibri" w:eastAsia="Times New Roman" w:hAnsi="Calibri" w:cs="Calibri"/>
          <w:b/>
          <w:bCs/>
          <w:sz w:val="28"/>
          <w:szCs w:val="28"/>
        </w:rPr>
        <w:br/>
        <w:t>REPEALED REGULATIONS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6225"/>
        <w:gridCol w:w="1695"/>
      </w:tblGrid>
      <w:tr w:rsidR="006134E7" w:rsidRPr="006134E7" w14:paraId="5EEEAD09" w14:textId="77777777" w:rsidTr="006134E7">
        <w:trPr>
          <w:tblCellSpacing w:w="0" w:type="dxa"/>
          <w:jc w:val="center"/>
        </w:trPr>
        <w:tc>
          <w:tcPr>
            <w:tcW w:w="6225" w:type="dxa"/>
            <w:vAlign w:val="center"/>
            <w:hideMark/>
          </w:tcPr>
          <w:p w14:paraId="269A09EC"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i/>
                <w:iCs/>
                <w:sz w:val="28"/>
                <w:szCs w:val="28"/>
              </w:rPr>
              <w:t>Title</w:t>
            </w:r>
          </w:p>
        </w:tc>
        <w:tc>
          <w:tcPr>
            <w:tcW w:w="1695" w:type="dxa"/>
            <w:vAlign w:val="center"/>
            <w:hideMark/>
          </w:tcPr>
          <w:p w14:paraId="7E7B656B"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i/>
                <w:iCs/>
                <w:sz w:val="28"/>
                <w:szCs w:val="28"/>
              </w:rPr>
              <w:t>Instrument</w:t>
            </w:r>
          </w:p>
        </w:tc>
      </w:tr>
      <w:tr w:rsidR="006134E7" w:rsidRPr="006134E7" w14:paraId="24469C95" w14:textId="77777777" w:rsidTr="006134E7">
        <w:trPr>
          <w:tblCellSpacing w:w="0" w:type="dxa"/>
          <w:jc w:val="center"/>
        </w:trPr>
        <w:tc>
          <w:tcPr>
            <w:tcW w:w="6225" w:type="dxa"/>
            <w:vAlign w:val="center"/>
            <w:hideMark/>
          </w:tcPr>
          <w:p w14:paraId="05711328"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Customs and Excise (Inward Processing) (Rebate) Regulations, 1992.</w:t>
            </w:r>
          </w:p>
        </w:tc>
        <w:tc>
          <w:tcPr>
            <w:tcW w:w="1695" w:type="dxa"/>
            <w:vAlign w:val="center"/>
            <w:hideMark/>
          </w:tcPr>
          <w:p w14:paraId="5DF893B0"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235 of 1992</w:t>
            </w:r>
          </w:p>
        </w:tc>
      </w:tr>
      <w:tr w:rsidR="006134E7" w:rsidRPr="006134E7" w14:paraId="587D4C21" w14:textId="77777777" w:rsidTr="006134E7">
        <w:trPr>
          <w:tblCellSpacing w:w="0" w:type="dxa"/>
          <w:jc w:val="center"/>
        </w:trPr>
        <w:tc>
          <w:tcPr>
            <w:tcW w:w="6225" w:type="dxa"/>
            <w:vAlign w:val="center"/>
            <w:hideMark/>
          </w:tcPr>
          <w:p w14:paraId="43F1CB35"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Customs and Excise (Inward Processing) (Rebate) (Amendment) Regulations, 1995 (No. 1)</w:t>
            </w:r>
          </w:p>
        </w:tc>
        <w:tc>
          <w:tcPr>
            <w:tcW w:w="1695" w:type="dxa"/>
            <w:vAlign w:val="center"/>
            <w:hideMark/>
          </w:tcPr>
          <w:p w14:paraId="2E0D8A3F" w14:textId="77777777" w:rsidR="006134E7" w:rsidRPr="006134E7" w:rsidRDefault="006134E7" w:rsidP="006134E7">
            <w:pPr>
              <w:spacing w:after="150" w:line="240" w:lineRule="auto"/>
              <w:rPr>
                <w:rFonts w:ascii="Calibri" w:eastAsia="Times New Roman" w:hAnsi="Calibri" w:cs="Calibri"/>
                <w:sz w:val="28"/>
                <w:szCs w:val="28"/>
              </w:rPr>
            </w:pPr>
            <w:r w:rsidRPr="006134E7">
              <w:rPr>
                <w:rFonts w:ascii="Calibri" w:eastAsia="Times New Roman" w:hAnsi="Calibri" w:cs="Calibri"/>
                <w:sz w:val="28"/>
                <w:szCs w:val="28"/>
              </w:rPr>
              <w:t>168 of 1995</w:t>
            </w:r>
          </w:p>
        </w:tc>
      </w:tr>
    </w:tbl>
    <w:p w14:paraId="32454252"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20"/>
    <w:rsid w:val="000D0720"/>
    <w:rsid w:val="006134E7"/>
    <w:rsid w:val="0079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66B7B-92F7-4CE5-943A-A5ABC6D8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532057">
      <w:bodyDiv w:val="1"/>
      <w:marLeft w:val="0"/>
      <w:marRight w:val="0"/>
      <w:marTop w:val="0"/>
      <w:marBottom w:val="0"/>
      <w:divBdr>
        <w:top w:val="none" w:sz="0" w:space="0" w:color="auto"/>
        <w:left w:val="none" w:sz="0" w:space="0" w:color="auto"/>
        <w:bottom w:val="none" w:sz="0" w:space="0" w:color="auto"/>
        <w:right w:val="none" w:sz="0" w:space="0" w:color="auto"/>
      </w:divBdr>
      <w:divsChild>
        <w:div w:id="1923640992">
          <w:marLeft w:val="0"/>
          <w:marRight w:val="0"/>
          <w:marTop w:val="0"/>
          <w:marBottom w:val="0"/>
          <w:divBdr>
            <w:top w:val="none" w:sz="0" w:space="0" w:color="auto"/>
            <w:left w:val="none" w:sz="0" w:space="0" w:color="auto"/>
            <w:bottom w:val="none" w:sz="0" w:space="0" w:color="auto"/>
            <w:right w:val="none" w:sz="0" w:space="0" w:color="auto"/>
          </w:divBdr>
        </w:div>
        <w:div w:id="2090467447">
          <w:marLeft w:val="0"/>
          <w:marRight w:val="0"/>
          <w:marTop w:val="0"/>
          <w:marBottom w:val="0"/>
          <w:divBdr>
            <w:top w:val="none" w:sz="0" w:space="0" w:color="auto"/>
            <w:left w:val="none" w:sz="0" w:space="0" w:color="auto"/>
            <w:bottom w:val="none" w:sz="0" w:space="0" w:color="auto"/>
            <w:right w:val="none" w:sz="0" w:space="0" w:color="auto"/>
          </w:divBdr>
        </w:div>
        <w:div w:id="1668559146">
          <w:marLeft w:val="0"/>
          <w:marRight w:val="0"/>
          <w:marTop w:val="0"/>
          <w:marBottom w:val="0"/>
          <w:divBdr>
            <w:top w:val="none" w:sz="0" w:space="0" w:color="auto"/>
            <w:left w:val="none" w:sz="0" w:space="0" w:color="auto"/>
            <w:bottom w:val="none" w:sz="0" w:space="0" w:color="auto"/>
            <w:right w:val="none" w:sz="0" w:space="0" w:color="auto"/>
          </w:divBdr>
        </w:div>
        <w:div w:id="1512261090">
          <w:marLeft w:val="0"/>
          <w:marRight w:val="0"/>
          <w:marTop w:val="0"/>
          <w:marBottom w:val="0"/>
          <w:divBdr>
            <w:top w:val="none" w:sz="0" w:space="0" w:color="auto"/>
            <w:left w:val="none" w:sz="0" w:space="0" w:color="auto"/>
            <w:bottom w:val="none" w:sz="0" w:space="0" w:color="auto"/>
            <w:right w:val="none" w:sz="0" w:space="0" w:color="auto"/>
          </w:divBdr>
          <w:divsChild>
            <w:div w:id="885413713">
              <w:marLeft w:val="0"/>
              <w:marRight w:val="0"/>
              <w:marTop w:val="0"/>
              <w:marBottom w:val="0"/>
              <w:divBdr>
                <w:top w:val="none" w:sz="0" w:space="0" w:color="auto"/>
                <w:left w:val="none" w:sz="0" w:space="0" w:color="auto"/>
                <w:bottom w:val="none" w:sz="0" w:space="0" w:color="auto"/>
                <w:right w:val="none" w:sz="0" w:space="0" w:color="auto"/>
              </w:divBdr>
            </w:div>
            <w:div w:id="1497843371">
              <w:marLeft w:val="0"/>
              <w:marRight w:val="0"/>
              <w:marTop w:val="0"/>
              <w:marBottom w:val="0"/>
              <w:divBdr>
                <w:top w:val="none" w:sz="0" w:space="0" w:color="auto"/>
                <w:left w:val="none" w:sz="0" w:space="0" w:color="auto"/>
                <w:bottom w:val="none" w:sz="0" w:space="0" w:color="auto"/>
                <w:right w:val="none" w:sz="0" w:space="0" w:color="auto"/>
              </w:divBdr>
            </w:div>
            <w:div w:id="515075419">
              <w:marLeft w:val="0"/>
              <w:marRight w:val="0"/>
              <w:marTop w:val="0"/>
              <w:marBottom w:val="0"/>
              <w:divBdr>
                <w:top w:val="none" w:sz="0" w:space="0" w:color="auto"/>
                <w:left w:val="none" w:sz="0" w:space="0" w:color="auto"/>
                <w:bottom w:val="none" w:sz="0" w:space="0" w:color="auto"/>
                <w:right w:val="none" w:sz="0" w:space="0" w:color="auto"/>
              </w:divBdr>
            </w:div>
            <w:div w:id="1904485705">
              <w:marLeft w:val="0"/>
              <w:marRight w:val="0"/>
              <w:marTop w:val="0"/>
              <w:marBottom w:val="0"/>
              <w:divBdr>
                <w:top w:val="none" w:sz="0" w:space="0" w:color="auto"/>
                <w:left w:val="none" w:sz="0" w:space="0" w:color="auto"/>
                <w:bottom w:val="none" w:sz="0" w:space="0" w:color="auto"/>
                <w:right w:val="none" w:sz="0" w:space="0" w:color="auto"/>
              </w:divBdr>
            </w:div>
            <w:div w:id="1765297156">
              <w:marLeft w:val="0"/>
              <w:marRight w:val="0"/>
              <w:marTop w:val="0"/>
              <w:marBottom w:val="0"/>
              <w:divBdr>
                <w:top w:val="none" w:sz="0" w:space="0" w:color="auto"/>
                <w:left w:val="none" w:sz="0" w:space="0" w:color="auto"/>
                <w:bottom w:val="none" w:sz="0" w:space="0" w:color="auto"/>
                <w:right w:val="none" w:sz="0" w:space="0" w:color="auto"/>
              </w:divBdr>
            </w:div>
            <w:div w:id="1615163186">
              <w:marLeft w:val="0"/>
              <w:marRight w:val="0"/>
              <w:marTop w:val="0"/>
              <w:marBottom w:val="0"/>
              <w:divBdr>
                <w:top w:val="none" w:sz="0" w:space="0" w:color="auto"/>
                <w:left w:val="none" w:sz="0" w:space="0" w:color="auto"/>
                <w:bottom w:val="none" w:sz="0" w:space="0" w:color="auto"/>
                <w:right w:val="none" w:sz="0" w:space="0" w:color="auto"/>
              </w:divBdr>
            </w:div>
            <w:div w:id="1775251495">
              <w:marLeft w:val="0"/>
              <w:marRight w:val="0"/>
              <w:marTop w:val="0"/>
              <w:marBottom w:val="0"/>
              <w:divBdr>
                <w:top w:val="none" w:sz="0" w:space="0" w:color="auto"/>
                <w:left w:val="none" w:sz="0" w:space="0" w:color="auto"/>
                <w:bottom w:val="none" w:sz="0" w:space="0" w:color="auto"/>
                <w:right w:val="none" w:sz="0" w:space="0" w:color="auto"/>
              </w:divBdr>
            </w:div>
            <w:div w:id="1971474486">
              <w:marLeft w:val="0"/>
              <w:marRight w:val="0"/>
              <w:marTop w:val="0"/>
              <w:marBottom w:val="0"/>
              <w:divBdr>
                <w:top w:val="none" w:sz="0" w:space="0" w:color="auto"/>
                <w:left w:val="none" w:sz="0" w:space="0" w:color="auto"/>
                <w:bottom w:val="none" w:sz="0" w:space="0" w:color="auto"/>
                <w:right w:val="none" w:sz="0" w:space="0" w:color="auto"/>
              </w:divBdr>
            </w:div>
          </w:divsChild>
        </w:div>
        <w:div w:id="1829788775">
          <w:marLeft w:val="0"/>
          <w:marRight w:val="0"/>
          <w:marTop w:val="0"/>
          <w:marBottom w:val="0"/>
          <w:divBdr>
            <w:top w:val="none" w:sz="0" w:space="0" w:color="auto"/>
            <w:left w:val="none" w:sz="0" w:space="0" w:color="auto"/>
            <w:bottom w:val="none" w:sz="0" w:space="0" w:color="auto"/>
            <w:right w:val="none" w:sz="0" w:space="0" w:color="auto"/>
          </w:divBdr>
          <w:divsChild>
            <w:div w:id="2136411964">
              <w:marLeft w:val="0"/>
              <w:marRight w:val="0"/>
              <w:marTop w:val="0"/>
              <w:marBottom w:val="0"/>
              <w:divBdr>
                <w:top w:val="none" w:sz="0" w:space="0" w:color="auto"/>
                <w:left w:val="none" w:sz="0" w:space="0" w:color="auto"/>
                <w:bottom w:val="none" w:sz="0" w:space="0" w:color="auto"/>
                <w:right w:val="none" w:sz="0" w:space="0" w:color="auto"/>
              </w:divBdr>
            </w:div>
          </w:divsChild>
        </w:div>
        <w:div w:id="146437580">
          <w:marLeft w:val="0"/>
          <w:marRight w:val="0"/>
          <w:marTop w:val="0"/>
          <w:marBottom w:val="0"/>
          <w:divBdr>
            <w:top w:val="none" w:sz="0" w:space="0" w:color="auto"/>
            <w:left w:val="none" w:sz="0" w:space="0" w:color="auto"/>
            <w:bottom w:val="none" w:sz="0" w:space="0" w:color="auto"/>
            <w:right w:val="none" w:sz="0" w:space="0" w:color="auto"/>
          </w:divBdr>
          <w:divsChild>
            <w:div w:id="2108692024">
              <w:marLeft w:val="0"/>
              <w:marRight w:val="0"/>
              <w:marTop w:val="0"/>
              <w:marBottom w:val="0"/>
              <w:divBdr>
                <w:top w:val="none" w:sz="0" w:space="0" w:color="auto"/>
                <w:left w:val="none" w:sz="0" w:space="0" w:color="auto"/>
                <w:bottom w:val="none" w:sz="0" w:space="0" w:color="auto"/>
                <w:right w:val="none" w:sz="0" w:space="0" w:color="auto"/>
              </w:divBdr>
            </w:div>
            <w:div w:id="1597639040">
              <w:marLeft w:val="0"/>
              <w:marRight w:val="0"/>
              <w:marTop w:val="0"/>
              <w:marBottom w:val="0"/>
              <w:divBdr>
                <w:top w:val="none" w:sz="0" w:space="0" w:color="auto"/>
                <w:left w:val="none" w:sz="0" w:space="0" w:color="auto"/>
                <w:bottom w:val="none" w:sz="0" w:space="0" w:color="auto"/>
                <w:right w:val="none" w:sz="0" w:space="0" w:color="auto"/>
              </w:divBdr>
            </w:div>
          </w:divsChild>
        </w:div>
        <w:div w:id="1065682334">
          <w:marLeft w:val="0"/>
          <w:marRight w:val="0"/>
          <w:marTop w:val="0"/>
          <w:marBottom w:val="0"/>
          <w:divBdr>
            <w:top w:val="none" w:sz="0" w:space="0" w:color="auto"/>
            <w:left w:val="none" w:sz="0" w:space="0" w:color="auto"/>
            <w:bottom w:val="none" w:sz="0" w:space="0" w:color="auto"/>
            <w:right w:val="none" w:sz="0" w:space="0" w:color="auto"/>
          </w:divBdr>
          <w:divsChild>
            <w:div w:id="561212105">
              <w:marLeft w:val="0"/>
              <w:marRight w:val="0"/>
              <w:marTop w:val="0"/>
              <w:marBottom w:val="0"/>
              <w:divBdr>
                <w:top w:val="none" w:sz="0" w:space="0" w:color="auto"/>
                <w:left w:val="none" w:sz="0" w:space="0" w:color="auto"/>
                <w:bottom w:val="none" w:sz="0" w:space="0" w:color="auto"/>
                <w:right w:val="none" w:sz="0" w:space="0" w:color="auto"/>
              </w:divBdr>
            </w:div>
          </w:divsChild>
        </w:div>
        <w:div w:id="1249773218">
          <w:marLeft w:val="0"/>
          <w:marRight w:val="0"/>
          <w:marTop w:val="0"/>
          <w:marBottom w:val="0"/>
          <w:divBdr>
            <w:top w:val="none" w:sz="0" w:space="0" w:color="auto"/>
            <w:left w:val="none" w:sz="0" w:space="0" w:color="auto"/>
            <w:bottom w:val="none" w:sz="0" w:space="0" w:color="auto"/>
            <w:right w:val="none" w:sz="0" w:space="0" w:color="auto"/>
          </w:divBdr>
          <w:divsChild>
            <w:div w:id="55857943">
              <w:marLeft w:val="0"/>
              <w:marRight w:val="0"/>
              <w:marTop w:val="0"/>
              <w:marBottom w:val="0"/>
              <w:divBdr>
                <w:top w:val="none" w:sz="0" w:space="0" w:color="auto"/>
                <w:left w:val="none" w:sz="0" w:space="0" w:color="auto"/>
                <w:bottom w:val="none" w:sz="0" w:space="0" w:color="auto"/>
                <w:right w:val="none" w:sz="0" w:space="0" w:color="auto"/>
              </w:divBdr>
            </w:div>
          </w:divsChild>
        </w:div>
        <w:div w:id="2115440555">
          <w:marLeft w:val="0"/>
          <w:marRight w:val="0"/>
          <w:marTop w:val="0"/>
          <w:marBottom w:val="0"/>
          <w:divBdr>
            <w:top w:val="none" w:sz="0" w:space="0" w:color="auto"/>
            <w:left w:val="none" w:sz="0" w:space="0" w:color="auto"/>
            <w:bottom w:val="none" w:sz="0" w:space="0" w:color="auto"/>
            <w:right w:val="none" w:sz="0" w:space="0" w:color="auto"/>
          </w:divBdr>
          <w:divsChild>
            <w:div w:id="272711635">
              <w:marLeft w:val="0"/>
              <w:marRight w:val="0"/>
              <w:marTop w:val="0"/>
              <w:marBottom w:val="0"/>
              <w:divBdr>
                <w:top w:val="none" w:sz="0" w:space="0" w:color="auto"/>
                <w:left w:val="none" w:sz="0" w:space="0" w:color="auto"/>
                <w:bottom w:val="none" w:sz="0" w:space="0" w:color="auto"/>
                <w:right w:val="none" w:sz="0" w:space="0" w:color="auto"/>
              </w:divBdr>
            </w:div>
            <w:div w:id="469517410">
              <w:marLeft w:val="0"/>
              <w:marRight w:val="0"/>
              <w:marTop w:val="0"/>
              <w:marBottom w:val="0"/>
              <w:divBdr>
                <w:top w:val="none" w:sz="0" w:space="0" w:color="auto"/>
                <w:left w:val="none" w:sz="0" w:space="0" w:color="auto"/>
                <w:bottom w:val="none" w:sz="0" w:space="0" w:color="auto"/>
                <w:right w:val="none" w:sz="0" w:space="0" w:color="auto"/>
              </w:divBdr>
            </w:div>
            <w:div w:id="1913005992">
              <w:marLeft w:val="0"/>
              <w:marRight w:val="0"/>
              <w:marTop w:val="0"/>
              <w:marBottom w:val="0"/>
              <w:divBdr>
                <w:top w:val="none" w:sz="0" w:space="0" w:color="auto"/>
                <w:left w:val="none" w:sz="0" w:space="0" w:color="auto"/>
                <w:bottom w:val="none" w:sz="0" w:space="0" w:color="auto"/>
                <w:right w:val="none" w:sz="0" w:space="0" w:color="auto"/>
              </w:divBdr>
            </w:div>
          </w:divsChild>
        </w:div>
        <w:div w:id="804741347">
          <w:marLeft w:val="0"/>
          <w:marRight w:val="0"/>
          <w:marTop w:val="0"/>
          <w:marBottom w:val="0"/>
          <w:divBdr>
            <w:top w:val="none" w:sz="0" w:space="0" w:color="auto"/>
            <w:left w:val="none" w:sz="0" w:space="0" w:color="auto"/>
            <w:bottom w:val="none" w:sz="0" w:space="0" w:color="auto"/>
            <w:right w:val="none" w:sz="0" w:space="0" w:color="auto"/>
          </w:divBdr>
        </w:div>
        <w:div w:id="1176311757">
          <w:marLeft w:val="0"/>
          <w:marRight w:val="0"/>
          <w:marTop w:val="0"/>
          <w:marBottom w:val="0"/>
          <w:divBdr>
            <w:top w:val="none" w:sz="0" w:space="0" w:color="auto"/>
            <w:left w:val="none" w:sz="0" w:space="0" w:color="auto"/>
            <w:bottom w:val="none" w:sz="0" w:space="0" w:color="auto"/>
            <w:right w:val="none" w:sz="0" w:space="0" w:color="auto"/>
          </w:divBdr>
          <w:divsChild>
            <w:div w:id="744379414">
              <w:marLeft w:val="0"/>
              <w:marRight w:val="0"/>
              <w:marTop w:val="0"/>
              <w:marBottom w:val="0"/>
              <w:divBdr>
                <w:top w:val="none" w:sz="0" w:space="0" w:color="auto"/>
                <w:left w:val="none" w:sz="0" w:space="0" w:color="auto"/>
                <w:bottom w:val="none" w:sz="0" w:space="0" w:color="auto"/>
                <w:right w:val="none" w:sz="0" w:space="0" w:color="auto"/>
              </w:divBdr>
            </w:div>
            <w:div w:id="2098557513">
              <w:marLeft w:val="0"/>
              <w:marRight w:val="0"/>
              <w:marTop w:val="0"/>
              <w:marBottom w:val="0"/>
              <w:divBdr>
                <w:top w:val="none" w:sz="0" w:space="0" w:color="auto"/>
                <w:left w:val="none" w:sz="0" w:space="0" w:color="auto"/>
                <w:bottom w:val="none" w:sz="0" w:space="0" w:color="auto"/>
                <w:right w:val="none" w:sz="0" w:space="0" w:color="auto"/>
              </w:divBdr>
            </w:div>
            <w:div w:id="1284385500">
              <w:marLeft w:val="0"/>
              <w:marRight w:val="0"/>
              <w:marTop w:val="0"/>
              <w:marBottom w:val="0"/>
              <w:divBdr>
                <w:top w:val="none" w:sz="0" w:space="0" w:color="auto"/>
                <w:left w:val="none" w:sz="0" w:space="0" w:color="auto"/>
                <w:bottom w:val="none" w:sz="0" w:space="0" w:color="auto"/>
                <w:right w:val="none" w:sz="0" w:space="0" w:color="auto"/>
              </w:divBdr>
            </w:div>
          </w:divsChild>
        </w:div>
        <w:div w:id="93408351">
          <w:marLeft w:val="0"/>
          <w:marRight w:val="0"/>
          <w:marTop w:val="0"/>
          <w:marBottom w:val="0"/>
          <w:divBdr>
            <w:top w:val="none" w:sz="0" w:space="0" w:color="auto"/>
            <w:left w:val="none" w:sz="0" w:space="0" w:color="auto"/>
            <w:bottom w:val="none" w:sz="0" w:space="0" w:color="auto"/>
            <w:right w:val="none" w:sz="0" w:space="0" w:color="auto"/>
          </w:divBdr>
          <w:divsChild>
            <w:div w:id="780495756">
              <w:marLeft w:val="0"/>
              <w:marRight w:val="0"/>
              <w:marTop w:val="0"/>
              <w:marBottom w:val="0"/>
              <w:divBdr>
                <w:top w:val="none" w:sz="0" w:space="0" w:color="auto"/>
                <w:left w:val="none" w:sz="0" w:space="0" w:color="auto"/>
                <w:bottom w:val="none" w:sz="0" w:space="0" w:color="auto"/>
                <w:right w:val="none" w:sz="0" w:space="0" w:color="auto"/>
              </w:divBdr>
            </w:div>
          </w:divsChild>
        </w:div>
        <w:div w:id="129448550">
          <w:marLeft w:val="0"/>
          <w:marRight w:val="0"/>
          <w:marTop w:val="0"/>
          <w:marBottom w:val="0"/>
          <w:divBdr>
            <w:top w:val="none" w:sz="0" w:space="0" w:color="auto"/>
            <w:left w:val="none" w:sz="0" w:space="0" w:color="auto"/>
            <w:bottom w:val="none" w:sz="0" w:space="0" w:color="auto"/>
            <w:right w:val="none" w:sz="0" w:space="0" w:color="auto"/>
          </w:divBdr>
        </w:div>
        <w:div w:id="1842693351">
          <w:marLeft w:val="0"/>
          <w:marRight w:val="0"/>
          <w:marTop w:val="0"/>
          <w:marBottom w:val="0"/>
          <w:divBdr>
            <w:top w:val="none" w:sz="0" w:space="0" w:color="auto"/>
            <w:left w:val="none" w:sz="0" w:space="0" w:color="auto"/>
            <w:bottom w:val="none" w:sz="0" w:space="0" w:color="auto"/>
            <w:right w:val="none" w:sz="0" w:space="0" w:color="auto"/>
          </w:divBdr>
        </w:div>
        <w:div w:id="131649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hyperlink" Target="NULL" TargetMode="External"/><Relationship Id="rId39" Type="http://schemas.openxmlformats.org/officeDocument/2006/relationships/hyperlink" Target="NULL" TargetMode="External"/><Relationship Id="rId3" Type="http://schemas.openxmlformats.org/officeDocument/2006/relationships/webSettings" Target="webSettings.xml"/><Relationship Id="rId21" Type="http://schemas.openxmlformats.org/officeDocument/2006/relationships/hyperlink" Target="NULL" TargetMode="External"/><Relationship Id="rId34" Type="http://schemas.openxmlformats.org/officeDocument/2006/relationships/hyperlink" Target="NULL" TargetMode="External"/><Relationship Id="rId42" Type="http://schemas.openxmlformats.org/officeDocument/2006/relationships/hyperlink" Target="NULL" TargetMode="External"/><Relationship Id="rId47" Type="http://schemas.openxmlformats.org/officeDocument/2006/relationships/hyperlink" Target="NULL" TargetMode="Externa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46" Type="http://schemas.openxmlformats.org/officeDocument/2006/relationships/hyperlink" Target="dps://ZS@0101" TargetMode="Externa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29" Type="http://schemas.openxmlformats.org/officeDocument/2006/relationships/hyperlink" Target="NULL" TargetMode="External"/><Relationship Id="rId41"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5" Type="http://schemas.openxmlformats.org/officeDocument/2006/relationships/hyperlink" Target="dps://ZS@2302"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36" Type="http://schemas.openxmlformats.org/officeDocument/2006/relationships/hyperlink" Target="NULL" TargetMode="External"/><Relationship Id="rId49" Type="http://schemas.openxmlformats.org/officeDocument/2006/relationships/theme" Target="theme/theme1.xml"/><Relationship Id="rId10" Type="http://schemas.openxmlformats.org/officeDocument/2006/relationships/hyperlink" Target="NULL" TargetMode="External"/><Relationship Id="rId19" Type="http://schemas.openxmlformats.org/officeDocument/2006/relationships/hyperlink" Target="NULL" TargetMode="External"/><Relationship Id="rId31" Type="http://schemas.openxmlformats.org/officeDocument/2006/relationships/hyperlink" Target="NULL" TargetMode="External"/><Relationship Id="rId44" Type="http://schemas.openxmlformats.org/officeDocument/2006/relationships/hyperlink" Target="NULL" TargetMode="External"/><Relationship Id="rId4" Type="http://schemas.openxmlformats.org/officeDocument/2006/relationships/hyperlink" Target="dps://1997_59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fontTable" Target="fontTable.xml"/><Relationship Id="rId8"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2018-05-15T14:47:00Z</dcterms:created>
  <dcterms:modified xsi:type="dcterms:W3CDTF">2018-05-15T14:47:00Z</dcterms:modified>
</cp:coreProperties>
</file>